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2023</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康复托养机构设备购置补助项目</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新疆维吾尔自治区和田地区残疾人联合会</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新疆维吾尔自治区和田地区残疾人联合会</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陶江</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2024年05月14日</w:t>
      </w:r>
    </w:p>
    <w:p>
      <w:pPr>
        <w:spacing w:line="700" w:lineRule="exact"/>
        <w:ind w:firstLine="707"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（一）项目概况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1.项目背景</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地区财政局关于《提前下达2023年中央残疾人事业发展补助资金（中央专项彩票公益金）任务分配表》（和地财社[2023]2号文件）要求，2023年下达地区本级康复托养机构设备购置补助资金用于地区康复中心设备采购。为进一步解决我地区广大残疾人的康复需求，使我地区残疾人能根据就近就便原则接受康复服务，在本地开展康复服务项目，和田地区残疾人康复中心作为我地区的康复训练定点机构，承担了我地区的儿童康复训练和残疾人基本康复服务。为提升我地区定点康复中心康复服务能力，有利发挥地区康复中心作用，加强残疾儿童康复训练，改善残疾程度，促进残疾儿童更好融入社会，进一步提高对社会和残疾人的服务水平，营造全社会关爱扶残助残的良好氛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康复机构作为残联履行服务功能，开展残疾人康复工作，目前以坚持政府负责，部门配合；坚持目标导向，全面覆盖；坚持实施精准康复服务为目的；坚持以残疾人为本；坚持资金使用效益最大化。此批设备采购后，基本满足目前我地区残疾人康复中心开展儿童康复训练和残疾人基本康复服务，满足我地区有需求的残疾儿童和持证残疾人接受基本康复服务比例达85.00％以上，此项目的实施，才能进一步改善残疾人康复环境，加强残疾人服务体系建设，加快推进残疾人小康进程，改善社会服务基础设施条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2.主要内容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主要用途为以下范围的设备采购，采购儿童氧舱3台、关节持续被动活动仪1台、前臂康复训练器2台、短波电疗机2台、平衡训练检测训练1台、插板等，达到提升地区定点康复中心康复服务能力，设备正常有效使用效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3.实施情况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实施主体：和田地区残疾人联合会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实施时间：本项目实施期限为2023年1月—2023年8月。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施情况：本项目的实施符合《提前下达2023年中央残疾人事业发展补助资金（中央专项彩票公益金）任务分配表）（和地财社[2023]2号文件）相关政策要求，由和田地区残疾人康复中心提出设备需求清单，经残联党组会研究，地区财政审批，确定为政采云在线询价方式进行采购，中标单位为奎屯爱耳助听器有限公司，完成采购儿童氧舱3台、关节持续被动活动仪1台、前臂康复训练器2台、短波电疗机2台、平衡训练检测训练1台、插板，并验收完毕，实际解决了和田地区残疾人康复中心设备需求，满足为残疾人康复提供服务的能力，2023年和田地区残疾人康复中心共服务各类残疾人1100人次。解决了残疾儿童就近就便进行康复训练的需求，使残疾儿童改善了残疾程度，提高了康复的效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4.资金投入和使用情况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（1）项目资金安排落实、总投入等情况分析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本项目预算安排总额为130.00万元，资金来源为中央专项彩票公益金，其中：财政资金130.00万元，其他资金0.00万元，2023年实际收到预算资金130.00万元，预算资金到位率为100.00%。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（2）项目资金实际使用情况分析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本项目实际支付资金130.00万元，预算执行率100.00%。本项目资金主要用于支付设备采购费用130.00万元。</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1.总体目标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为和田地区残疾人康复中心采购一批设备，设备数量不少于9台，设备参数必须符合满足康复中心的需求，设备验收合格，均符合采购参数。财政及时下达项目资金共计130.00万元，项目于2023年8月实施完毕，设备投入使用。</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2.阶段性目标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中华人民共和国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我单位的规章制度以及项目实施和财务相关资料，评价小组对项目绩效指标进行了进一步的完善，完善后绩效指标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（1）项目产出指标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①数量指标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“得到补助的康复和托养机构个数”指标，预期指标值为&gt;1个；</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“购置设备数量”指标，预期指标值为&gt;=9台；</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②质量指标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“设备验收合格率（%）”指标，预期指标值为=100.00%；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③时效指标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“补助资金到位及时率”指标，预期指标值为=100.00%；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“项目完成时间”指标，预期指标值为2023年12月底；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④成本指标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“康复托养机构设备购置补助”指标，预期指标值为&lt;=130.00万元；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①经济效益指标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无此类指标。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②社会效益指标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“有需求的残疾儿童得到基本康复服务覆盖率”指标，预期指标值为&gt;=90.00%；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③生态效益指标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无此类指标。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④可持续影响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无此类指标。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⑤满意度指标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“残疾儿童或家属对基本康复服务的满意度”指标，预期指标值为&gt;=80.00%；</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6"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1.绩效评价的目的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为全面实施预算绩效管理，建立科学、合理的项目支出绩效评价管理体系，提高财政资源配置效率和使用效益，根据财政部印发《项目支出绩效评价管理办法》（财预〔2020〕10号）《自治区财政支出绩效评价管理暂行办法》（新财预〔2018〕189号）文件精神，我单位针对康复托养机构设备购置补助项目展本次部门项目支出绩效评价工作。通过绩效评价，促进本单位发现问题、总结经验、改进工作。绩效评价旨在评价本项目前期审批、实施过程及实施效果，促进预算管理不断完善，加快绩效目标的实现，保证财政资金有效、合理使用，具体绩效评价的目的细分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是：通过部门项目支出绩效评价，进一步严格落实《中华人民共和国预算法》以及党中央、国务院关于加强预算绩效管理的指示精神，建立健全“花钱必问效、无效必问责”的绩效预算管理机制，提升财政资金的使用效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2.绩效评价对象</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此次我单位根据《财政支出绩效评价管理暂行办法》（财预〔2020〕10号）文件要求实施评价工作，本次评价对象为康复托养机构设备购置补助项目，评价核心为项目的资金投入、产出及效益。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3.绩效评价范围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依据《中华人民共和国预算法》《中共 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等要求，绩效评价应遵循如下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（1）科学公正。绩效评价应当运用科学合理的方法，按照规范的程序，对项目绩效进行客观、公正的反映。</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（3）激励约束。绩效评价结果应与预算安排、政策调整、改进管理实质性挂钩，体现奖优罚劣和激励相容导向，有效要安排、低效要压减、无效要问责。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（4）公开透明。绩效评价结果应依法依规公开，并自觉接受社会监督。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根据以上原则，绩效评价应遵循如下要求:</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（1）在数据采集时，采取客观数据，主管部门审查、社会中介组织复查，与问卷调查相结合的形式，以保证各项指标的真实性。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（2）保证评价结果的真实性、公正性，提高评价报告的公信力。</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w:t>
      </w:r>
      <w:r>
        <w:rPr>
          <w:rStyle w:val="18"/>
          <w:rFonts w:hint="eastAsia" w:ascii="楷体" w:hAnsi="楷体" w:eastAsia="楷体"/>
          <w:b w:val="0"/>
          <w:bCs w:val="0"/>
          <w:spacing w:val="-4"/>
          <w:sz w:val="32"/>
          <w:szCs w:val="32"/>
          <w:lang w:eastAsia="zh-CN"/>
        </w:rPr>
        <w:t>绩效</w:t>
      </w:r>
      <w:bookmarkStart w:id="0" w:name="_GoBack"/>
      <w:bookmarkEnd w:id="0"/>
      <w:r>
        <w:rPr>
          <w:rStyle w:val="18"/>
          <w:rFonts w:hint="eastAsia" w:ascii="楷体" w:hAnsi="楷体" w:eastAsia="楷体"/>
          <w:b w:val="0"/>
          <w:bCs w:val="0"/>
          <w:spacing w:val="-4"/>
          <w:sz w:val="32"/>
          <w:szCs w:val="32"/>
        </w:rPr>
        <w:t>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2.绩效评价指标体系</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通过实施资料研读及前期调研，结合项目的实际开展情况，按照《项目支出绩效评价管理办法》（财预〔2020〕10号）文件要求，结合项目特点，经与专家组充分协商，设置指标体系结构如下：设置一级指标共4个，包括：决策指标（21%）、过程指标（19%）、产出指标（20%）、效益指标（40%）四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1：绩效评价体系”。</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3.评价方法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方法主要包括成本效益分析法、比较法、因素分析法、最低成本法、公众评判法、标杆管理法等。我单位根据本项目资金的性质和特点，选用比较法、因素分析法、公众评判法以及文献法对项目进行评价，旨在通过综合分析影响绩效目标实现、实施效果的内外部因素，从而评价本项目绩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三级指标分析环节：总体采用比较法，同时辅以文献法、成本效益法、因素分析法以及公众评判法，根据不同三级指标类型进行逐项分析。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定性指标分析环节：主要采用公众评判法，通过问卷及抽样调查等方式评价本项目实施后社会公众对于其实施效果的满意程度，将调研结果按照《项目支出绩效评价管理办法》（财预〔2020〕10号）文要求分为达成年度指标、部分达成年度指标并具有一定效果、未达成年度指标且效果较差三档，分别按照该指标对应分值区间100%-80%（含）、80%-60%（含）、60%-0%合理确定分值，详细评价方法的应用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立项依据充分性：比较法、文献法，查找法律法规政策以及规划，对比实际执行内容和政策支持内容是否匹配。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立项程序规范性：比较法、文献法，查找相关项目设立的政策和文件要求，对比分析实际执行程序是否按照政策及文件要求执行，分析立项程序的规范性。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绩效目标合理性：比较法，对比分析年初编制项目支出绩效目标表与项目内容的相关性、资金的匹配性等。</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绩效指标明确性：比较法，比较分析年初编制项目支出绩效目标表是否符合双七原则，是否可衡量。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预算编制科学性</w:t>
      </w:r>
      <w:r>
        <w:rPr>
          <w:rStyle w:val="18"/>
          <w:rFonts w:hint="eastAsia" w:ascii="楷体" w:hAnsi="楷体" w:eastAsia="楷体"/>
          <w:b w:val="0"/>
          <w:bCs w:val="0"/>
          <w:spacing w:val="-4"/>
          <w:sz w:val="32"/>
          <w:szCs w:val="32"/>
        </w:rPr>
        <w:tab/>
        <w:t>成本效益分析法</w:t>
      </w:r>
      <w:r>
        <w:rPr>
          <w:rStyle w:val="18"/>
          <w:rFonts w:hint="eastAsia" w:ascii="楷体" w:hAnsi="楷体" w:eastAsia="楷体"/>
          <w:b w:val="0"/>
          <w:bCs w:val="0"/>
          <w:spacing w:val="-4"/>
          <w:sz w:val="32"/>
          <w:szCs w:val="32"/>
        </w:rPr>
        <w:tab/>
        <w:t>分析在产出一定的情况下，成本取值是否有依据，是否经过询价，是否按照市场最低成本编制。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资金分配合理性：因素分析法，综合分析资金的分配依据是否充分，分配金额是否与项目实施单位需求金额一致，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资金到位率：比较法，资金到位率预期指标值应为100%，通过实际计算，分析实际完成值和预期指标值之间的差距和原因。</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预算执行率：比较法，预算执行率预期指标值应为100%，通过实际计算，分析实际完成值和预期指标值之间的差距和原因。</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资金使用合规性：文献法、实地勘察法，一是查找资金管理办法，包括专项资金管理办法和单位自有资金管理办法；二是通过查账了解具体开支情况，是否专用专用，是否按照标准支出。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管理制度健全性：文献法、比较法，查阅项目实施人员提供的财务和业务管理制度，将已建立的制度与现行的法律法规和政策要求进行对比，分析项目制度的合法性、合规性、完整性。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制度执行有效性：比较法，结合项目实际实施过程性文件，根据已建设的财务管理制度和项目管理制度综合分析制度执行的有效性。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定性指标：公众评判法，通过问卷及抽样调查等方式评价本项目实施后社会公众对于其实施效果的满意程度。</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pPr>
        <w:spacing w:line="540" w:lineRule="exact"/>
        <w:ind w:firstLine="566" w:firstLineChars="181"/>
        <w:rPr>
          <w:rStyle w:val="18"/>
          <w:rFonts w:hint="eastAsia"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1.前期准备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于2023年1月10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 陶江（评价小组组长）：主要负责全程指导项目绩效评价工作，审核评价报告；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芮建红（评价小组组员）：主要负责撰写项目支出部门评价报告，分析汇总数据。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2.组织实施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2023年2月25日-3月15日，评价工作进入实施阶段。在数据采集方面，评价小组整理单位前期提交的资料，与项目实施负责人沟通，了解资金的内容、操作流程、管理机制、资金使用方向等情况并采集信息，了解项目设置背景及资金使用等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3.分析评价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2023年3月16日-4月1日，评价小组按照绩效评价的原则和规范，对取得的资料进行审查核实，对采集的数据进行分析，按照绩效评价指标评分表逐项进行打分、分析、汇总各方评价结果。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4.撰写与提交评价报告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2023年4月1日-4月15日评价小组撰写绩效评价报告，按照新疆维吾尔自治区财政绩效管理信息系统绩效评价模块中统一格式和文本框架撰写绩效评价报告并提交审核。</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5.问题整改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6.档案整理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建立和落实档案管理制度，将项目相关资料存档，包括但不限于：评价项目基本情况和相关文件、评价实施方案、项目支付资料等相关档案。</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（一）综合评价情况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经评价，本项目达成年初设立的绩效目标，在实施过程中取得了良好的成效，具体表现在以下三方面：</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是：落实政策，做好残疾人康复中心康复工作。根据关于印发《新疆维吾尔自治区残疾儿童康复救助定点服务机构管理实施办法(试行)&gt;的通知（新残字[2022]15号），进一步做好残疾儿童康复救助和残疾人基本康复需求保障，提高康复中心服务能力和基础设施水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是：精准康复，切实保障解决残疾人的康复需求。通过每年残疾人动态更新调查，2023年有康复服务需求的10715人，有康复医疗需求的2645人，有康复训练需求的4281人，有辅具适配需求的3248人，残联年初开始主动跟进，统筹定点机构，及时提供康复服务和辅具适配务等。</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三是：认真审核，确保资金及时足额支付。对采购的康复设备，及时组织相关专业人员进行验收，验收合格后，按照合同约定，提交财政审核支付印证材料，确保资金及时足额支付。</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（二）评价结论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此次绩效评价通过绩效评价小组论证的评价指标体系及评分标准，采用因素分析法和比较法对本项目绩效进行客观评价，最终评分结果：总分为100.00分，绩效评级为“优”。综合评价结论如下：本项目共设置三级指标数量19个，实现三级指标数量19个，总体完成率为100%。项目决策类指标共设置6个，满分指标6个，得分率100%；过程管理类指标共设置5个，满分指标5个，得分率100%；项目产出类指标共设置6个，满分指标6个，得分率100%；项目效益类指标共设置2个，满分指标2个，得分率100%，详细情况见“附件1：绩效评价体系”。</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6"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项目决策类指标由3个二级指标和6个三级指标构成，权重分21.00分，实际得分21.00分。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1.项目立项情况分析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（1）立项依据充分性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立项符合《提前下达2023年中央残疾人事业发展补助资金（中央专项彩票公益金）任务分配表）（和地财社[2023]2号文件）绩效目标要求中：“为残疾人康复和托养机构配置设备，提升残疾人康复和托养能力”内容，符合行业发展规划和政策要求；本项目立项符合《残疾人康复中心单位配置内设机构和人员编制规定》中职责范围中的“提升康复中心为残疾人服务的能力”，属于我单位履职所需；根据《财政资金直接支付申请书》，本项目资金性质为“公共财政预算”功能分类为“208199其他支出”经济分类为“2296006资本性支出”属于公共财政支持范围，符合中央、地方事权支出责任划分原则；经检查我单位财政应用平台指标，本项目不存在重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综上所述，本指标满分为5.00分，根据评分标准得5.00分，本项目立项依据充分。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（2）立项程序规范性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本项目立项过程中产生的文件均符合相关要求。本项目为特定目标类类项目，属于一次性项目，项目预算金额为130.00万元，不涉及事前绩效评估和风险评估，由本单位完成本项目实施方案的编制。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综上所述，本指标满分为3.00分，根据评分标准得3.00分，本项目立项程序合规。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2.绩效目标情况分析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（1）绩效目标合理性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已设置年度绩效目标，具体内容为“采购儿童氧舱3台、关节持续被动活动仪1台、前臂康复训练器2台、短波电疗机2台、平衡训练检测训练1台、插板等，为残疾人康复和托养机构配置设备，提升残疾人康复和托养能力，达到提升地区定点康复中心康复服务能力，设备正常有效使用效果”；本项目实际工作为：截止2023年12月31日，项目实际支出130万元，执行率100%，已完成采购儿童氧舱3台、关节持续被动活动仪1台、前臂康复训练器2台、短波电疗机2台、平衡训练检测训练1台、插板等的残疾人康复和托养机构配置设备采购，验收合格后，及时移交地区残疾人康复中心，残疾人儿童或家属对基本康复服务满意度达到80%以上，提升残疾人康复和托养能力，达到提升地区定点康复中心康复服务能力，此次设备采购达到了预期有效使用效果。绩效目标与实际工作内容一致，两者具有相关性;本项目按照绩效目标完成数量指标、质量指标、时效指标、成本指标，有效保障了和田地区有需求的残疾儿童得到基本康复服务，年度绩效目标完成，预期产出效益和效果符合正常的业绩水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综上所述，本指标满分为4.00分，根据评分标准得4.00分，本项目绩效目标设置合理。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（2）绩效指标明确性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检查我单位年初设置的《项目支出绩效目标表》，得出如下结论：本项目已将年度绩效目标进行细化为绩效指标体系，共设置一级指标3个，二级指标8个，三级指标8个，定量指标7个，定性指标1个，指标量化率为87.50%，量化率达70.00%以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综上所述，本指标满分为3.00分，根据评分标准得3.00分，本项目所设置绩效指标明确。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3.资金投入情况分析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（1）预算编制科学性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本项目由和田地区残疾人康复中心提出设备需求清单，经残联党组会研究，地区财政审批，确定为政采云在线询价方式进行采购，即预算编制较科学且经过论证；</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预算申请内容为康复托养设备购置补助项目，项目实际内容为康复托养购置补助，预算申请与《康复托养设备购置补助项目实施方案》中涉及的项目内容匹配；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预算申请资金130.00万元，我单位在预算申请中严格按照单位标准和数量进行核算，其中：采购费用为130.00万元，数量为9台。本项目预算额度测算依据充分，严格按照标准编制，预算确定资金量与实际工作任务相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综上所述，本指标满分为4.00分，根据评分标准得4.00分，本项目预算编制科学。</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（2）资金分配合理性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实际分配资金以《关于申请康复托养设备购置补助项目资金的请示》和《康复托养设备购置补助项目实施方案》为依据进行资金分配，预算资金分配依据充分。根据《提前下达2023年中央残疾人事业发展补助资金（中央专项彩票公益金）任务分配表）（和地财社[2023]2号文件）文件显示，本项目实际到位资金130.00万元，实际分配资金与我单位提交申请的资金额度一致，资金分配额度合理，与我单位实际需求相适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综上所述，本指标满分为2.00分，根据评分标准得2.00分，本项目资金分配合理。</w:t>
      </w:r>
      <w:r>
        <w:rPr>
          <w:rStyle w:val="18"/>
          <w:rFonts w:hint="eastAsia" w:ascii="楷体" w:hAnsi="楷体" w:eastAsia="楷体"/>
          <w:b w:val="0"/>
          <w:bCs w:val="0"/>
          <w:spacing w:val="-4"/>
          <w:sz w:val="32"/>
          <w:szCs w:val="32"/>
          <w:lang w:eastAsia="zh-CN"/>
        </w:rPr>
        <w:tab/>
      </w:r>
    </w:p>
    <w:p>
      <w:pPr>
        <w:spacing w:line="540" w:lineRule="exact"/>
        <w:ind w:firstLine="566" w:firstLineChars="181"/>
        <w:rPr>
          <w:rStyle w:val="18"/>
          <w:rFonts w:hint="eastAsia" w:ascii="楷体" w:hAnsi="楷体" w:eastAsia="楷体"/>
          <w:b/>
          <w:spacing w:val="-4"/>
          <w:sz w:val="32"/>
          <w:szCs w:val="32"/>
        </w:rPr>
      </w:pPr>
      <w:r>
        <w:rPr>
          <w:rFonts w:hint="eastAsia" w:ascii="楷体" w:hAnsi="楷体" w:eastAsia="楷体"/>
          <w:b/>
          <w:spacing w:val="-4"/>
          <w:sz w:val="32"/>
          <w:szCs w:val="32"/>
        </w:rPr>
        <w:t>（</w:t>
      </w:r>
      <w:r>
        <w:rPr>
          <w:rFonts w:hint="eastAsia" w:ascii="楷体" w:hAnsi="楷体" w:eastAsia="楷体"/>
          <w:b/>
          <w:spacing w:val="-4"/>
          <w:sz w:val="32"/>
          <w:szCs w:val="32"/>
          <w:lang w:val="en-US" w:eastAsia="zh-CN"/>
        </w:rPr>
        <w:t>二</w:t>
      </w:r>
      <w:r>
        <w:rPr>
          <w:rFonts w:hint="eastAsia" w:ascii="楷体" w:hAnsi="楷体" w:eastAsia="楷体"/>
          <w:b/>
          <w:spacing w:val="-4"/>
          <w:sz w:val="32"/>
          <w:szCs w:val="32"/>
        </w:rPr>
        <w:t>）</w:t>
      </w:r>
      <w:r>
        <w:rPr>
          <w:rStyle w:val="18"/>
          <w:rFonts w:hint="eastAsia" w:ascii="楷体" w:hAnsi="楷体" w:eastAsia="楷体"/>
          <w:spacing w:val="-4"/>
          <w:sz w:val="32"/>
          <w:szCs w:val="32"/>
        </w:rPr>
        <w:t>项目过程情况</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项目过程管理类指标由2个二级指标和5个三级指标构成，权重分19.00分，实际得分19.00分。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1.资金管理情况分析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（1）资金到位率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本项目预算资金为130.00万元，其中：中央专项彩票公益金安排资金130.00万元，实际到位资金130.00万元，资金到位率=（实际到位资金/预算资金）×100%=（130.00/130.00）*100%=100%。得分=资金到位率*分值=100%*4=4.00分。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综上所述，本指标满分为4.00分，根据评分标准得4.00分，本项目资金分配合理。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（2）预算执行率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本项目实际支出资金130.00万元，预算执行率=（实际支出资金/实际到位资金）×100%=（130.00/130.00）*100%=100%。得分=预算执行率*分值=100%*5=5.00分。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综上所述，本指标满分为5.00分，根据评分标准得5.00分，本项目资金分配合理。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（3）资金使用合规性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通过检查本项目签订的合同、资金申请文件、发票等财务付款凭证，得出本项目资金支出符合国家财经法规、《政府会计制度》以及《和田地区残疾人联合会资金管理办法》《中央彩票公益金专项资金管理办法》，资金的拨付有完整的审批程序和手续，资金实际使用方向与预算批复用途一致，不存在截留、挤占、挪用、虚列支出的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综上所述，本指标满分为4.00分，根据评分标准得4.00分，资金支出符合我单位财务管理制度规定。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2.组织实施情况分析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（1）管理制度健全性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已制定《专项资金管理办法》、《和田地区残疾人联合会收支业务管理制度》、《和田地区残疾人联合会政府采购业务管理制度》、《和田地区残疾人联合会合同管理制度》，上述已建立的制度均符合行政事业单位内控管理要求，财务和业务管理制度合法、合规、完整，本项目执行符合上述制度规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综上所述，本指标满分为2.00分，根据评分标准得2.00分，项目制度建设健全。</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（2）制度执行有效性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对比分析本项目实际执行过程资料和已建立的项目管理制度和财务管理制度，得出本项目严格按照本单位已建立制度执行。项目资金支出严格按照自治区、地区、市以及本单位资金管理办法执行，项目启动实施后，为了加快本项目的实施，成立了康复托养机构设备购置补助项目工作领导小组，由党组服书记莫合塔尔·买提努尔任组长，负责项目的组织工作；组员包括：吐松阿依，主要负责项目监督管理、验收以及资金核拨等工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综上所述，本指标满分为4.00分，根据评分标准得4.00分，本项目所建立制度执行有效。</w:t>
      </w:r>
    </w:p>
    <w:p>
      <w:pPr>
        <w:spacing w:line="540" w:lineRule="exact"/>
        <w:ind w:firstLine="566" w:firstLineChars="181"/>
        <w:rPr>
          <w:rFonts w:ascii="楷体" w:hAnsi="楷体" w:eastAsia="楷体"/>
          <w:b/>
          <w:spacing w:val="-4"/>
          <w:sz w:val="32"/>
          <w:szCs w:val="32"/>
        </w:rPr>
      </w:pPr>
      <w:r>
        <w:rPr>
          <w:rFonts w:hint="eastAsia" w:ascii="楷体" w:hAnsi="楷体" w:eastAsia="楷体"/>
          <w:b/>
          <w:spacing w:val="-4"/>
          <w:sz w:val="32"/>
          <w:szCs w:val="32"/>
        </w:rPr>
        <w:t>（</w:t>
      </w:r>
      <w:r>
        <w:rPr>
          <w:rFonts w:hint="eastAsia" w:ascii="楷体" w:hAnsi="楷体" w:eastAsia="楷体"/>
          <w:b/>
          <w:spacing w:val="-4"/>
          <w:sz w:val="32"/>
          <w:szCs w:val="32"/>
          <w:lang w:val="en-US" w:eastAsia="zh-CN"/>
        </w:rPr>
        <w:t>三</w:t>
      </w:r>
      <w:r>
        <w:rPr>
          <w:rFonts w:hint="eastAsia" w:ascii="楷体" w:hAnsi="楷体" w:eastAsia="楷体"/>
          <w:b/>
          <w:spacing w:val="-4"/>
          <w:sz w:val="32"/>
          <w:szCs w:val="32"/>
        </w:rPr>
        <w:t>）</w:t>
      </w:r>
      <w:r>
        <w:rPr>
          <w:rStyle w:val="18"/>
          <w:rFonts w:hint="eastAsia" w:ascii="楷体" w:hAnsi="楷体" w:eastAsia="楷体"/>
          <w:spacing w:val="-4"/>
          <w:sz w:val="32"/>
          <w:szCs w:val="32"/>
        </w:rPr>
        <w:t>项目产出情况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项目产出类指标由4个二级指标和6个三级指标构成，权重分20.00分，实际得分20.00分。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1.数量指标完成情况分析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“得到补助的康复和托养机构个数”指标：预期指标值为&gt;=1个，实际完成指标值为1个，指标完成率为100.00%。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“购置设备数量”指标：预期指标值为&gt;=9台，实际完成指标值为9台，指标完成率为100.00%。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2.质量指标完成情况分析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“设备验收合格率（%）”指标:预期指标值为100.00%，实际完成值为100.00%,指标完成率为100.00%。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3.时效指标完成情况分析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“补助资金到位及时率”指标:预期指标值为=100.00%，实际完成值为100.00%,指标完成率为100.00%。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“项目完成时间”指标:预期指标值为2023年12月底，实际完成值为2023年8月30日,指标完成率为100.00%。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4.成本指标完成情况分析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“康复托养机构设备购置补助”指标:预期指标值为&lt;=130.00万元，实际完成值为130.00万元,指标完成率为100.00%。</w:t>
      </w:r>
    </w:p>
    <w:p>
      <w:pPr>
        <w:spacing w:line="540" w:lineRule="exact"/>
        <w:ind w:firstLine="566" w:firstLineChars="181"/>
        <w:rPr>
          <w:rFonts w:ascii="楷体" w:hAnsi="楷体" w:eastAsia="楷体"/>
          <w:b/>
          <w:spacing w:val="-4"/>
          <w:sz w:val="32"/>
          <w:szCs w:val="32"/>
        </w:rPr>
      </w:pPr>
      <w:r>
        <w:rPr>
          <w:rFonts w:hint="eastAsia" w:ascii="楷体" w:hAnsi="楷体" w:eastAsia="楷体"/>
          <w:b/>
          <w:spacing w:val="-4"/>
          <w:sz w:val="32"/>
          <w:szCs w:val="32"/>
        </w:rPr>
        <w:t>（</w:t>
      </w:r>
      <w:r>
        <w:rPr>
          <w:rFonts w:hint="eastAsia" w:ascii="楷体" w:hAnsi="楷体" w:eastAsia="楷体"/>
          <w:b/>
          <w:spacing w:val="-4"/>
          <w:sz w:val="32"/>
          <w:szCs w:val="32"/>
          <w:lang w:val="en-US" w:eastAsia="zh-CN"/>
        </w:rPr>
        <w:t>四</w:t>
      </w:r>
      <w:r>
        <w:rPr>
          <w:rFonts w:hint="eastAsia" w:ascii="楷体" w:hAnsi="楷体" w:eastAsia="楷体"/>
          <w:b/>
          <w:spacing w:val="-4"/>
          <w:sz w:val="32"/>
          <w:szCs w:val="32"/>
        </w:rPr>
        <w:t>）</w:t>
      </w:r>
      <w:r>
        <w:rPr>
          <w:rStyle w:val="18"/>
          <w:rFonts w:hint="eastAsia" w:ascii="楷体" w:hAnsi="楷体" w:eastAsia="楷体"/>
          <w:spacing w:val="-4"/>
          <w:sz w:val="32"/>
          <w:szCs w:val="32"/>
        </w:rPr>
        <w:t>项目效益情况</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项目效益类指标由2个二级指标和2个三级指标构成，权重分40.00分，实际得分40.00分。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1.经济效益完成情况分析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2.社会效益完成情况分析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“有需求的残疾儿童得到基本康复服务覆盖率”指标:预期指标值为&gt;=90.00%，实际完成值为100.00%,指标完成率为100.00%。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3.生态效益完成情况分析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无此类指标。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4.可持续影响完成情况分析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无此类指标。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5.满意度指标完成情况分析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“残疾儿童或家属对基本康复服务的满意度”指标：预期指标值为&gt;=80.00%，实际完成值为100.00%,指标完成率为100.00%。</w:t>
      </w:r>
    </w:p>
    <w:p>
      <w:pPr>
        <w:spacing w:line="540" w:lineRule="exact"/>
        <w:ind w:firstLine="567"/>
        <w:rPr>
          <w:rStyle w:val="18"/>
          <w:rFonts w:hint="eastAsia" w:ascii="楷体" w:hAnsi="楷体" w:eastAsia="楷体"/>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五、预算执行进度与绩效指标偏差</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b w:val="0"/>
          <w:bCs w:val="0"/>
          <w:spacing w:val="-4"/>
          <w:sz w:val="32"/>
          <w:szCs w:val="32"/>
        </w:rPr>
        <w:t>本项目年初预算资金总额为130.00万元，全年预算数为130.00万元，全年执行数为130.00万元，预算执行率为100.00%。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本项目共设置三级指标数量19个，满分指标数量19个，扣分指标数量0个，经分析计算所有三级指标完成率得出，本项目总体完成率为100%。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综上所述本项目预算执行率与总体完成率之间的偏差为0%。</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六、主要经验及做法、存在的问题及原因分析</w:t>
      </w:r>
    </w:p>
    <w:p>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在实施过程中，采用了政采云在线询价方式采购，时间段，效率高，组织保障到位，经费保障充足，项目实施中监督检查、绩效管理监督到位，做到制度在先，有据可依。我单位以本次绩效评价为契机，建立健全预算项目管理制度，合理设置内部管理机构和岗位，明确职责权限，明确业务个环节流程、时间要求、审批权限等，领导分工明确，事事有人管，件件有人抓，明确单位内部各个业务归口管理责任，加强对政府采购业务预算与计划管理，建立预算编制，提升编制预算的计划性、科学性和规范性，强化预算绩效意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（二）存在的问题及原因分析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1、资金、监管方面：各科室部门沟通协调不足，监督责任不明确。项目资金监督和管理需进一步完善。工作措施不够细化，职责划分不够清晰。部分指标评估衡量方式比较简单，评价内容不够全面。</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2、缺乏预算绩效管理基础数据库建设，相关原始资料整理、信息汇总及研究利用效率不高。指标体系设计的质量和层次尚需提高。部门职责划分存在重合，项目实施效率不高。</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3、缺乏风险识别机制，项目实施稳健性存在风险，反馈信息的收集和处理不够及时，项目相关人员专业水平有待加强。</w:t>
      </w:r>
    </w:p>
    <w:p>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、有关建议</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b w:val="0"/>
          <w:bCs w:val="0"/>
          <w:spacing w:val="-4"/>
          <w:sz w:val="32"/>
          <w:szCs w:val="32"/>
        </w:rPr>
        <w:t>1、加强财务管理，严格财务审核。加强单位财务管理，健全单位财务管理制度体系，规范单位财务行为。在费用报账支付时，按照预算规定的费用项目和用途进行资金使用审核、财务严格核算，杜绝超支现象的发生。规范部门预算收支核算，切实提高部门资金管理水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拟定项目执行的任务，建立项目库，扎实推进相关要求，做好项目进度计划设定，强化实施计划与组织管理，加强外部协调与沟通。进一步完善强化项目决策制度，严格落实三重一大、民主集中制、末尾表态制等制度，有效保证项目决策的科学性和可行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成立专门的领导小组，强化监管，确保质量。规范项目执行过程中的相关标准。强化建设项目管理。严格执行项目制定的相关规定，进一步加强项目建设管理。对相关人员加强培训，特别是针对《预算法》、《行政事业单位会计制度》等学习培训，切实提高人员专业水平。</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八</w:t>
      </w:r>
      <w:r>
        <w:rPr>
          <w:rStyle w:val="18"/>
          <w:rFonts w:hint="eastAsia" w:ascii="黑体" w:hAnsi="黑体" w:eastAsia="黑体"/>
          <w:b w:val="0"/>
          <w:spacing w:val="-4"/>
          <w:sz w:val="32"/>
          <w:szCs w:val="32"/>
        </w:rPr>
        <w:t>、其他需要说明的问题</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（一）本项目部分间接产生的效果无法准确在短期内衡量，因此很难认定项目产生的全部效果。通过指标来反映绩效，指标的科学性和全面性需要不断地完善和研究。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（二）评价结果作为安排政府预算、完善政策和改进管理的重要依据。原则上，对评价等级为优、良的，根据情况予以支持；对评价等级为中、差的，要完善政策、改进管理，根据情况核减预算。</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（三）评价结果分别编入政府决算和部门预算，报送本级人民代表大会常务委员会，并依法予以公开。</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Cambria">
    <w:altName w:val="FreeSerif"/>
    <w:panose1 w:val="02040503050406030204"/>
    <w:charset w:val="00"/>
    <w:family w:val="roman"/>
    <w:pitch w:val="default"/>
    <w:sig w:usb0="00000000" w:usb1="00000000"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altName w:val="汉仪中宋简"/>
    <w:panose1 w:val="02010600040101010101"/>
    <w:charset w:val="86"/>
    <w:family w:val="auto"/>
    <w:pitch w:val="default"/>
    <w:sig w:usb0="00000000" w:usb1="00000000" w:usb2="00000000" w:usb3="00000000" w:csb0="0004009F" w:csb1="DFD70000"/>
  </w:font>
  <w:font w:name="方正小标宋_GBK">
    <w:panose1 w:val="02000000000000000000"/>
    <w:charset w:val="86"/>
    <w:family w:val="script"/>
    <w:pitch w:val="default"/>
    <w:sig w:usb0="00000001" w:usb1="08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Liberation Serif">
    <w:panose1 w:val="02020603050405020304"/>
    <w:charset w:val="00"/>
    <w:family w:val="auto"/>
    <w:pitch w:val="default"/>
    <w:sig w:usb0="A00002AF" w:usb1="500078FB" w:usb2="00000000" w:usb3="00000000" w:csb0="6000009F" w:csb1="DFD70000"/>
  </w:font>
  <w:font w:name="汉仪中宋简">
    <w:panose1 w:val="02010600000101010101"/>
    <w:charset w:val="86"/>
    <w:family w:val="auto"/>
    <w:pitch w:val="default"/>
    <w:sig w:usb0="00000001" w:usb1="080E0800" w:usb2="00000002" w:usb3="00000000" w:csb0="00040000" w:csb1="00000000"/>
  </w:font>
  <w:font w:name="Nimbus Roman No9 L">
    <w:panose1 w:val="00000000000000000000"/>
    <w:charset w:val="00"/>
    <w:family w:val="auto"/>
    <w:pitch w:val="default"/>
    <w:sig w:usb0="00000000" w:usb1="00000000" w:usb2="00000000" w:usb3="00000000" w:csb0="00000000" w:csb1="00000000"/>
  </w:font>
  <w:font w:name="FreeSerif">
    <w:panose1 w:val="02020603050405020304"/>
    <w:charset w:val="00"/>
    <w:family w:val="auto"/>
    <w:pitch w:val="default"/>
    <w:sig w:usb0="E59FAFFF" w:usb1="C200FDFF" w:usb2="43501B29" w:usb3="04000043" w:csb0="6001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2"/>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56465"/>
    <w:rsid w:val="00102DFF"/>
    <w:rsid w:val="00121AE4"/>
    <w:rsid w:val="00146AAD"/>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11BD75F7"/>
    <w:rsid w:val="13BE561A"/>
    <w:rsid w:val="15392994"/>
    <w:rsid w:val="18FE139B"/>
    <w:rsid w:val="27D84E8E"/>
    <w:rsid w:val="3029612C"/>
    <w:rsid w:val="32A221C5"/>
    <w:rsid w:val="33F20F2A"/>
    <w:rsid w:val="34C44675"/>
    <w:rsid w:val="3B5B5607"/>
    <w:rsid w:val="3CE21B3C"/>
    <w:rsid w:val="4D2606A1"/>
    <w:rsid w:val="51830480"/>
    <w:rsid w:val="53A616BE"/>
    <w:rsid w:val="54662BFB"/>
    <w:rsid w:val="62051CA5"/>
    <w:rsid w:val="6C3A69EF"/>
    <w:rsid w:val="78BD8E0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semiHidden/>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273</Words>
  <Characters>581</Characters>
  <Lines>5</Lines>
  <Paragraphs>1</Paragraphs>
  <TotalTime>137</TotalTime>
  <ScaleCrop>false</ScaleCrop>
  <LinksUpToDate>false</LinksUpToDate>
  <CharactersWithSpaces>595</CharactersWithSpaces>
  <Application>WPS Office_11.8.2.10386_F1E327BC-269C-435d-A152-05C5408002CA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2018-08-15T10:06:00Z</dcterms:created>
  <dc:creator>赵 恺（预算处）</dc:creator>
  <cp:lastModifiedBy>user</cp:lastModifiedBy>
  <cp:lastPrinted>2024-11-28T11:39:23Z</cp:lastPrinted>
  <dcterms:modified xsi:type="dcterms:W3CDTF">2024-11-28T11:39:32Z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2052-11.8.2.10386</vt:lpwstr>
  </property>
  <property fmtid="{D5CDD505-2E9C-101B-9397-08002B2CF9AE}" pid="3" name="ICV">
    <vt:lpwstr>C734C92AAAF24344A0E4232D8EB3359B</vt:lpwstr>
  </property>
</Properties>
</file>