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8A17C5">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D7ED65D">
      <w:pPr>
        <w:spacing w:line="540" w:lineRule="exact"/>
        <w:jc w:val="center"/>
        <w:rPr>
          <w:rFonts w:ascii="华文中宋" w:hAnsi="华文中宋" w:eastAsia="华文中宋" w:cs="宋体"/>
          <w:b/>
          <w:kern w:val="0"/>
          <w:sz w:val="52"/>
          <w:szCs w:val="52"/>
        </w:rPr>
      </w:pPr>
    </w:p>
    <w:p w14:paraId="6720EBEA">
      <w:pPr>
        <w:spacing w:line="540" w:lineRule="exact"/>
        <w:jc w:val="center"/>
        <w:rPr>
          <w:rFonts w:ascii="华文中宋" w:hAnsi="华文中宋" w:eastAsia="华文中宋" w:cs="宋体"/>
          <w:b/>
          <w:kern w:val="0"/>
          <w:sz w:val="52"/>
          <w:szCs w:val="52"/>
        </w:rPr>
      </w:pPr>
    </w:p>
    <w:p w14:paraId="10ADC687">
      <w:pPr>
        <w:spacing w:line="540" w:lineRule="exact"/>
        <w:jc w:val="center"/>
        <w:rPr>
          <w:rFonts w:ascii="华文中宋" w:hAnsi="华文中宋" w:eastAsia="华文中宋" w:cs="宋体"/>
          <w:b/>
          <w:kern w:val="0"/>
          <w:sz w:val="52"/>
          <w:szCs w:val="52"/>
        </w:rPr>
      </w:pPr>
    </w:p>
    <w:p w14:paraId="0042FCFD">
      <w:pPr>
        <w:spacing w:line="540" w:lineRule="exact"/>
        <w:jc w:val="center"/>
        <w:rPr>
          <w:rFonts w:ascii="华文中宋" w:hAnsi="华文中宋" w:eastAsia="华文中宋" w:cs="宋体"/>
          <w:b/>
          <w:kern w:val="0"/>
          <w:sz w:val="52"/>
          <w:szCs w:val="52"/>
        </w:rPr>
      </w:pPr>
    </w:p>
    <w:p w14:paraId="3D665D5E">
      <w:pPr>
        <w:spacing w:line="540" w:lineRule="exact"/>
        <w:jc w:val="center"/>
        <w:rPr>
          <w:rFonts w:ascii="华文中宋" w:hAnsi="华文中宋" w:eastAsia="华文中宋" w:cs="宋体"/>
          <w:b/>
          <w:kern w:val="0"/>
          <w:sz w:val="52"/>
          <w:szCs w:val="52"/>
        </w:rPr>
      </w:pPr>
    </w:p>
    <w:p w14:paraId="79D27DA5">
      <w:pPr>
        <w:spacing w:line="540" w:lineRule="exact"/>
        <w:jc w:val="center"/>
        <w:rPr>
          <w:rFonts w:ascii="华文中宋" w:hAnsi="华文中宋" w:eastAsia="华文中宋" w:cs="宋体"/>
          <w:b/>
          <w:kern w:val="0"/>
          <w:sz w:val="52"/>
          <w:szCs w:val="52"/>
        </w:rPr>
      </w:pPr>
    </w:p>
    <w:p w14:paraId="167C8FFC">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00869FC">
      <w:pPr>
        <w:spacing w:line="540" w:lineRule="exact"/>
        <w:jc w:val="center"/>
        <w:rPr>
          <w:rFonts w:ascii="华文中宋" w:hAnsi="华文中宋" w:eastAsia="华文中宋" w:cs="宋体"/>
          <w:b/>
          <w:kern w:val="0"/>
          <w:sz w:val="52"/>
          <w:szCs w:val="52"/>
        </w:rPr>
      </w:pPr>
    </w:p>
    <w:p w14:paraId="55261240">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6BB9BD34">
      <w:pPr>
        <w:spacing w:line="540" w:lineRule="exact"/>
        <w:jc w:val="center"/>
        <w:rPr>
          <w:rFonts w:hAnsi="宋体" w:eastAsia="仿宋_GB2312" w:cs="宋体"/>
          <w:kern w:val="0"/>
          <w:sz w:val="30"/>
          <w:szCs w:val="30"/>
        </w:rPr>
      </w:pPr>
    </w:p>
    <w:p w14:paraId="0EF285EC">
      <w:pPr>
        <w:spacing w:line="540" w:lineRule="exact"/>
        <w:jc w:val="center"/>
        <w:rPr>
          <w:rFonts w:hAnsi="宋体" w:eastAsia="仿宋_GB2312" w:cs="宋体"/>
          <w:kern w:val="0"/>
          <w:sz w:val="30"/>
          <w:szCs w:val="30"/>
        </w:rPr>
      </w:pPr>
    </w:p>
    <w:p w14:paraId="19315EFC">
      <w:pPr>
        <w:spacing w:line="540" w:lineRule="exact"/>
        <w:jc w:val="center"/>
        <w:rPr>
          <w:rFonts w:hAnsi="宋体" w:eastAsia="仿宋_GB2312" w:cs="宋体"/>
          <w:kern w:val="0"/>
          <w:sz w:val="30"/>
          <w:szCs w:val="30"/>
        </w:rPr>
      </w:pPr>
    </w:p>
    <w:p w14:paraId="0EBF9887">
      <w:pPr>
        <w:spacing w:line="540" w:lineRule="exact"/>
        <w:jc w:val="center"/>
        <w:rPr>
          <w:rFonts w:hAnsi="宋体" w:eastAsia="仿宋_GB2312" w:cs="宋体"/>
          <w:kern w:val="0"/>
          <w:sz w:val="30"/>
          <w:szCs w:val="30"/>
        </w:rPr>
      </w:pPr>
    </w:p>
    <w:p w14:paraId="0EEF3EB0">
      <w:pPr>
        <w:spacing w:line="540" w:lineRule="exact"/>
        <w:jc w:val="center"/>
        <w:rPr>
          <w:rFonts w:hAnsi="宋体" w:eastAsia="仿宋_GB2312" w:cs="宋体"/>
          <w:kern w:val="0"/>
          <w:sz w:val="30"/>
          <w:szCs w:val="30"/>
        </w:rPr>
      </w:pPr>
    </w:p>
    <w:p w14:paraId="11CF96A2">
      <w:pPr>
        <w:spacing w:line="540" w:lineRule="exact"/>
        <w:jc w:val="center"/>
        <w:rPr>
          <w:rFonts w:hAnsi="宋体" w:eastAsia="仿宋_GB2312" w:cs="宋体"/>
          <w:kern w:val="0"/>
          <w:sz w:val="30"/>
          <w:szCs w:val="30"/>
        </w:rPr>
      </w:pPr>
    </w:p>
    <w:p w14:paraId="150A0F1C">
      <w:pPr>
        <w:spacing w:line="540" w:lineRule="exact"/>
        <w:rPr>
          <w:rFonts w:hAnsi="宋体" w:eastAsia="仿宋_GB2312" w:cs="宋体"/>
          <w:kern w:val="0"/>
          <w:sz w:val="30"/>
          <w:szCs w:val="30"/>
        </w:rPr>
      </w:pPr>
    </w:p>
    <w:p w14:paraId="323E19D9">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CB0F0C5">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纤维公正检验经费（第二批）</w:t>
      </w:r>
    </w:p>
    <w:p w14:paraId="18AFEC5E">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和田地区纤维检验所</w:t>
      </w:r>
    </w:p>
    <w:p w14:paraId="7E393915">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和田地区纤维检验所</w:t>
      </w:r>
    </w:p>
    <w:p w14:paraId="0A4B6713">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刘文玲</w:t>
      </w:r>
    </w:p>
    <w:p w14:paraId="5A6A9630">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2024年05月15日</w:t>
      </w:r>
    </w:p>
    <w:p w14:paraId="0BD7C291">
      <w:pPr>
        <w:spacing w:line="700" w:lineRule="exact"/>
        <w:ind w:firstLine="708" w:firstLineChars="236"/>
        <w:jc w:val="left"/>
        <w:rPr>
          <w:rFonts w:hAnsi="宋体" w:eastAsia="仿宋_GB2312" w:cs="宋体"/>
          <w:kern w:val="0"/>
          <w:sz w:val="30"/>
          <w:szCs w:val="30"/>
        </w:rPr>
      </w:pPr>
    </w:p>
    <w:p w14:paraId="3245325B">
      <w:pPr>
        <w:spacing w:line="540" w:lineRule="exact"/>
        <w:rPr>
          <w:rStyle w:val="18"/>
          <w:rFonts w:ascii="黑体" w:hAnsi="黑体" w:eastAsia="黑体"/>
          <w:b w:val="0"/>
          <w:spacing w:val="-4"/>
          <w:sz w:val="32"/>
          <w:szCs w:val="32"/>
        </w:rPr>
      </w:pPr>
    </w:p>
    <w:p w14:paraId="4779D6E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7713DE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14:paraId="34F3C22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根据财政局部《财政部关于提前下达2023年</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等纤维公证检验经费预算的通知》财行[2023]9号，和自治区财政厅《关于提前下达2023年度纤维公证检验经费预算的通知》为提高工作效率配置网络管理系统、为提高办公进度、让效率更高效而采购电脑；为了进一步提升我所</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公证检验能力，完成</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公证检验件数提高</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公证检验合格率用于仪器设备维修费和购置。从而使全地区棉纤维受检率达95.00%以上。在检验工作方面，做到了公检工作长期持续健康发展、做到了</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公检效率有所提高，为我地区经济社会发展做出了积极贡献。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围绕国家、自治区纤维质量检验技术法规、产品标准，对</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、毛绒、</w:t>
      </w:r>
      <w:r>
        <w:rPr>
          <w:rStyle w:val="18"/>
          <w:rFonts w:hint="eastAsia" w:ascii="楷体" w:hAnsi="楷体" w:eastAsia="楷体"/>
          <w:b w:val="0"/>
          <w:bCs w:val="0"/>
          <w:spacing w:val="-4"/>
          <w:sz w:val="32"/>
          <w:szCs w:val="32"/>
          <w:lang w:eastAsia="zh-CN"/>
        </w:rPr>
        <w:t>絮用纤维</w:t>
      </w:r>
      <w:r>
        <w:rPr>
          <w:rStyle w:val="18"/>
          <w:rFonts w:hint="eastAsia" w:ascii="楷体" w:hAnsi="楷体" w:eastAsia="楷体"/>
          <w:b w:val="0"/>
          <w:bCs w:val="0"/>
          <w:spacing w:val="-4"/>
          <w:sz w:val="32"/>
          <w:szCs w:val="32"/>
        </w:rPr>
        <w:t>制品、医用纤维制品、地毯、服装等6大类16个产品52个检验参数开展检验、实验分析工作, 通过此项目实施进一步达到依法负责纤维公证检验工作，根据国家下达</w:t>
      </w:r>
      <w:r>
        <w:rPr>
          <w:rStyle w:val="18"/>
          <w:rFonts w:hint="eastAsia" w:ascii="楷体" w:hAnsi="楷体" w:eastAsia="楷体"/>
          <w:b w:val="0"/>
          <w:bCs w:val="0"/>
          <w:spacing w:val="-4"/>
          <w:sz w:val="32"/>
          <w:szCs w:val="32"/>
          <w:lang w:eastAsia="zh-CN"/>
        </w:rPr>
        <w:t>天然纤维天然纤维</w:t>
      </w:r>
      <w:r>
        <w:rPr>
          <w:rStyle w:val="18"/>
          <w:rFonts w:hint="eastAsia" w:ascii="楷体" w:hAnsi="楷体" w:eastAsia="楷体"/>
          <w:b w:val="0"/>
          <w:bCs w:val="0"/>
          <w:spacing w:val="-4"/>
          <w:sz w:val="32"/>
          <w:szCs w:val="32"/>
        </w:rPr>
        <w:t>纤维公证检验任务，监督</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公证检验质量。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实施主体：和田地区纤维检验所。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实施时间：本项目实施期限为2023年1月—2023年12月。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实施情况：本项目的实施符合根据财政局部《财政部关于提前下达2023年</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等纤维公证检验经费预算的通知》财行[2023]9号，和自治区财政厅《关于提前下达2023年度纤维公证检验经费预算的通知》（新财行[2023]9号）相关政策要求，对</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、毛绒、</w:t>
      </w:r>
      <w:r>
        <w:rPr>
          <w:rStyle w:val="18"/>
          <w:rFonts w:hint="eastAsia" w:ascii="楷体" w:hAnsi="楷体" w:eastAsia="楷体"/>
          <w:b w:val="0"/>
          <w:bCs w:val="0"/>
          <w:spacing w:val="-4"/>
          <w:sz w:val="32"/>
          <w:szCs w:val="32"/>
          <w:lang w:eastAsia="zh-CN"/>
        </w:rPr>
        <w:t>絮用</w:t>
      </w:r>
      <w:r>
        <w:rPr>
          <w:rStyle w:val="18"/>
          <w:rFonts w:hint="eastAsia" w:ascii="楷体" w:hAnsi="楷体" w:eastAsia="楷体"/>
          <w:b w:val="0"/>
          <w:bCs w:val="0"/>
          <w:spacing w:val="-4"/>
          <w:sz w:val="32"/>
          <w:szCs w:val="32"/>
        </w:rPr>
        <w:t>纤维制品、医用纤维制品、地毯、服装等6大类16个产品52个检验参数开展检验、实验分析工作, 截止到2023年12月31日实际完成</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检验公证检验次数1100批次,</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公证检验吨数49620.00吨任务，达到了单位围绕国家、自治区纤维质量检验技术法规、产品标准，对</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、毛绒、</w:t>
      </w:r>
      <w:r>
        <w:rPr>
          <w:rStyle w:val="18"/>
          <w:rFonts w:hint="eastAsia" w:ascii="楷体" w:hAnsi="楷体" w:eastAsia="楷体"/>
          <w:b w:val="0"/>
          <w:bCs w:val="0"/>
          <w:spacing w:val="-4"/>
          <w:sz w:val="32"/>
          <w:szCs w:val="32"/>
          <w:lang w:eastAsia="zh-CN"/>
        </w:rPr>
        <w:t>絮用</w:t>
      </w:r>
      <w:r>
        <w:rPr>
          <w:rStyle w:val="18"/>
          <w:rFonts w:hint="eastAsia" w:ascii="楷体" w:hAnsi="楷体" w:eastAsia="楷体"/>
          <w:b w:val="0"/>
          <w:bCs w:val="0"/>
          <w:spacing w:val="-4"/>
          <w:sz w:val="32"/>
          <w:szCs w:val="32"/>
        </w:rPr>
        <w:t>纤维制品、医用纤维制品、地毯、服装等6大类16个产品52个检验参数开展检验、实验分析工作效益，服务企业满意度达到100.00%。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本项目预算安排总额为313.67万元，资金来源为本级部门预算，其中：财政资金313.67万元，其他资金0.00万元，2023年实际收到预算资金313.67万元，预算资金到位率为100.00%。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本项目实际支付资金313.67万元，预算执行率100.00%。本项目资金主要用于支付专业人员工资费用116.00万元、购买实验室专用材料及设备费用182.00万元,购买办公耗材品15.67万元。</w:t>
      </w:r>
    </w:p>
    <w:p w14:paraId="71CB3E9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0B40C578">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目标1：单位围绕国家、自治区纤维质量检验技术法规、产品标准，对</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、毛绒、</w:t>
      </w:r>
      <w:r>
        <w:rPr>
          <w:rStyle w:val="18"/>
          <w:rFonts w:hint="eastAsia" w:ascii="楷体" w:hAnsi="楷体" w:eastAsia="楷体"/>
          <w:b w:val="0"/>
          <w:bCs w:val="0"/>
          <w:spacing w:val="-4"/>
          <w:sz w:val="32"/>
          <w:szCs w:val="32"/>
          <w:lang w:eastAsia="zh-CN"/>
        </w:rPr>
        <w:t>絮用</w:t>
      </w:r>
      <w:r>
        <w:rPr>
          <w:rStyle w:val="18"/>
          <w:rFonts w:hint="eastAsia" w:ascii="楷体" w:hAnsi="楷体" w:eastAsia="楷体"/>
          <w:b w:val="0"/>
          <w:bCs w:val="0"/>
          <w:spacing w:val="-4"/>
          <w:sz w:val="32"/>
          <w:szCs w:val="32"/>
        </w:rPr>
        <w:t xml:space="preserve">纤维制品、医用纤维制品、地毯、服装等6大类16个产品52个检验参数开展检验、实验分析工作。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目标2： 用于纤维质量公证检验设备购置，业务开展等项目支出金额313.67万元。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目标3：</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公证检验吨数48293.00吨以上，</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检验公证检验次数1100批次。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检验公证检验次数(批次)”指标，预期指标值为&gt;=1100批次；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公证检验吨数”指标，预期指标值为&gt;=48293.00吨；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“完成任务率”指标，预期指标值为=100.00%；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检验设备购置、业务开展支出”指标，预期指标值为&lt;=313.67万元；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供给侧深化进程”指标，预期指标值为实施</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产业链质量控制；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“社会服务能力”指标，预期指标值为&gt;=20.00%；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⑤满意度指标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加工企业满意率”指标，预期指标值为≥98.00%；</w:t>
      </w:r>
    </w:p>
    <w:p w14:paraId="681BC1B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DDA2FF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F05639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纤维公正检验经费（第二批）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此次我单位根据《财政支出绩效评价管理暂行办法》（财预〔2020〕10号）文件要求实施评价工作，本次评价对象为纤维公正检验经费（第二批）项目，评价核心为项目的资金投入、产出及效益。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44C68FD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3665E51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根据以上原则，绩效评价应遵循如下要求: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w:t>
      </w:r>
      <w:r>
        <w:rPr>
          <w:rStyle w:val="18"/>
          <w:rFonts w:hint="eastAsia" w:ascii="楷体" w:hAnsi="楷体" w:eastAsia="楷体"/>
          <w:b w:val="0"/>
          <w:bCs w:val="0"/>
          <w:spacing w:val="-4"/>
          <w:sz w:val="32"/>
          <w:szCs w:val="32"/>
          <w:lang w:eastAsia="zh-CN"/>
        </w:rPr>
        <w:t>绩效</w:t>
      </w:r>
      <w:bookmarkStart w:id="0" w:name="_GoBack"/>
      <w:bookmarkEnd w:id="0"/>
      <w:r>
        <w:rPr>
          <w:rStyle w:val="18"/>
          <w:rFonts w:hint="eastAsia" w:ascii="楷体" w:hAnsi="楷体" w:eastAsia="楷体"/>
          <w:b w:val="0"/>
          <w:bCs w:val="0"/>
          <w:spacing w:val="-4"/>
          <w:sz w:val="32"/>
          <w:szCs w:val="32"/>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100.00%-80%（含）、80%-60%（含）、60%-0%合理确定分值，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立项依据充分性：比较法、文献法，查找法律法规政策以及规划，对比实际执行内容和政策支持内容是否匹配。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绩效目标合理性：比较法，对比分析年初编制项目支出绩效目标表与项目内容的相关性、资金的匹配性等。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绩效指标明确性：比较法，比较分析年初编制项目支出绩效目标表是否符合双七原则，是否可衡量。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预算编制科学性</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成本效益分析法</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分析在产出一定的情况下，成本取值是否有依据，是否经过询价，是否按照市场最低成本编制。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资金分配合理性：因素分析法，综合分析资金的分配依据是否充分，分配金额是否与项目实施单位需求金额一致，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资金到位率：比较法，资金到位率预期指标值应为100.00%，通过实际计算，分析实际完成值和预期指标值之间的差距和原因。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预算执行率：比较法，预算执行率预期指标值应为100.00%，通过实际计算，分析实际完成值和预期指标值之间的差距和原因。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资金使用合规性：文献法、实地勘察法，一是查找资金管理办法，包括专项资金管理办法和单位自有资金管理办法；二是通过查账了解具体开支情况，是否专用专用，是否按照标准支出。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定性指标：公众评判法，通过问卷及抽样调查等方式评价本项目实施后社会公众对于其实施效果的满意程度。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4693759E">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5A01398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2024年1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韩小敏（评价小组组长）：主要负责绩效评价工作的统筹协调;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古丽娜尔（评价小组组员）：主要负责绩效评价前期准备工作，资料的收集整理，复核数据等工作;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易洋（评价小组组员）：主要负责绩效评价报告的撰写，填报绩效自评表等相关工作。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2月25日-3月15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2023年3月16日-4月1日，评价小组按照绩效评价的原则和规范，对取得的资料进行审查核实，对采集的数据进行分析，按照绩效评价指标评分表逐项进行打分、分析、汇总各方评价结果。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2023年4月1日-4月15日评价小组撰写绩效评价报告，按照新疆维吾尔自治区财政绩效管理信息系统绩效评价模块中统一格式和文本框架撰写绩效评价报告并提交审核。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55038D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6203793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经评价，本项目达成达成目标；年初设立的绩效目标，在实施过程中取得了良好的成效，具体表现在以下三方面：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一是：本项目实际形成支出313.67万元，已完成</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检验公证检验次数1100批次,</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公证检验吨数49620.00吨的任务。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二是：达到了单位围绕国家、自治区纤维质量检验技术法规、产品标准，对</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、毛绒、</w:t>
      </w:r>
      <w:r>
        <w:rPr>
          <w:rStyle w:val="18"/>
          <w:rFonts w:hint="eastAsia" w:ascii="楷体" w:hAnsi="楷体" w:eastAsia="楷体"/>
          <w:b w:val="0"/>
          <w:bCs w:val="0"/>
          <w:spacing w:val="-4"/>
          <w:sz w:val="32"/>
          <w:szCs w:val="32"/>
          <w:lang w:eastAsia="zh-CN"/>
        </w:rPr>
        <w:t>絮用</w:t>
      </w:r>
      <w:r>
        <w:rPr>
          <w:rStyle w:val="18"/>
          <w:rFonts w:hint="eastAsia" w:ascii="楷体" w:hAnsi="楷体" w:eastAsia="楷体"/>
          <w:b w:val="0"/>
          <w:bCs w:val="0"/>
          <w:spacing w:val="-4"/>
          <w:sz w:val="32"/>
          <w:szCs w:val="32"/>
        </w:rPr>
        <w:t>纤维制品、医用纤维制品、地毯、服装等6大类16个产品52个检验参数开展检验、实验分析工作效益。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三是：通过此项目实施进一步达到依法负责纤维公证检验工作，根据国家下达</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公证检验任务，监督</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公证检验质量。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最终评分结果：总分为100.00分，绩效评级为“优”。综合评价结论如下：本项目共设置三级指标数量20个，实现三级指标数量20个，总体完成率为100.00%。项目决策类指标共设置6个，满分指标6个，得分率100.00%；过程管理类指标共设置5个，满分指标5个，得分率100.00%；项目产出类指标共设置6个，满分指标6个，得分率100.00%；项目效益类指标共设置3个，满分指标3个，得分率100.00%，详细情况见“附件1：绩效评价体系”。</w:t>
      </w:r>
    </w:p>
    <w:p w14:paraId="5745792E">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4F9F8FE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7D80602A">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本项目立项符合根据财政局部《财政部关于提前下达2023年</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等纤维公证检验经费预算的通知》财行[2023]9号，和自治区财政厅《关于提前下达2023年度纤维公证检验经费预算的通知》中（新财行[2023]9号）；本项目立项符合《2023年</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等纤维公证检验经费预算的通知》中“和田地区纤维检验所通过健全制度规范，明确了</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公检项目经费管理各个阶段的主要抓手，以狠抓工作落实来强有力地推动了预算项目管理工作。明确细化量化，使项目在立项阶段均定立了明确可考核的绩效目标；在项目实施阶段，主要通过狠抓项目执行情况报告和项目中期检查，及时发现并解决了阻碍项目实施的主要问题；在项目完成阶段，主要通过狠抓项目验收和绩效评价，并把评价结果作为项目立项的重要依据，确保了项目效益的及时发挥内容，符合行业发展规划和政策要求；本项目立项符合《和田地区纤维检验所单位配置内设机构和人员编制规定》中职责范围中“组织实施本地区纤维公证检验、委托检验、复核检验、仲裁检验，向社会提供技术服务”的相关规定，属于我单位履职所需；根据《财政资金直接支付申请书》，本项目资金性质为“公共财政预算”功能分类为“2013899其他市场监督管理支出”经济分类为“50299商品和服务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本项目根据财政局部《财政部关于提前下达2023年</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等纤维公证检验经费预算的通知》（财行[2023]9号），和自治区财政厅《关于提前下达2023年度纤维公证检验经费预算的通知》（新财行[2023]9号），项目立项过程中产生的文件均符合相关要求。本项目为经费类项目，属于经常性项目，项目预算金额为313.67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本项目已设置年度绩效目标，具体内容为“目标1：单位围绕国家、自治区纤维质量检验技术法规、产品标准，对</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、毛绒、</w:t>
      </w:r>
      <w:r>
        <w:rPr>
          <w:rStyle w:val="18"/>
          <w:rFonts w:hint="eastAsia" w:ascii="楷体" w:hAnsi="楷体" w:eastAsia="楷体"/>
          <w:b w:val="0"/>
          <w:bCs w:val="0"/>
          <w:spacing w:val="-4"/>
          <w:sz w:val="32"/>
          <w:szCs w:val="32"/>
          <w:lang w:eastAsia="zh-CN"/>
        </w:rPr>
        <w:t>絮用</w:t>
      </w:r>
      <w:r>
        <w:rPr>
          <w:rStyle w:val="18"/>
          <w:rFonts w:hint="eastAsia" w:ascii="楷体" w:hAnsi="楷体" w:eastAsia="楷体"/>
          <w:b w:val="0"/>
          <w:bCs w:val="0"/>
          <w:spacing w:val="-4"/>
          <w:sz w:val="32"/>
          <w:szCs w:val="32"/>
        </w:rPr>
        <w:t>纤维制品、医用纤维制品、地毯、服装等6大类16个产品52个检验参数开展检验、实验分析工作目标2：用于纤维质量公证检验设备购置，业务开展等项目支出金额313.67万元</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 xml:space="preserve"> 目标3：</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公证检验吨数48293吨以上，</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检验公证检验次数1100批次。”；本项目实际工作为：已完成</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检验公证检验次数1100批次,</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公证检验吨数49620吨任务，达到了单位围绕国家、自治区纤维质量检验技术法规、产品标准，对</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、毛绒、</w:t>
      </w:r>
      <w:r>
        <w:rPr>
          <w:rStyle w:val="18"/>
          <w:rFonts w:hint="eastAsia" w:ascii="楷体" w:hAnsi="楷体" w:eastAsia="楷体"/>
          <w:b w:val="0"/>
          <w:bCs w:val="0"/>
          <w:spacing w:val="-4"/>
          <w:sz w:val="32"/>
          <w:szCs w:val="32"/>
          <w:lang w:eastAsia="zh-CN"/>
        </w:rPr>
        <w:t>絮用</w:t>
      </w:r>
      <w:r>
        <w:rPr>
          <w:rStyle w:val="18"/>
          <w:rFonts w:hint="eastAsia" w:ascii="楷体" w:hAnsi="楷体" w:eastAsia="楷体"/>
          <w:b w:val="0"/>
          <w:bCs w:val="0"/>
          <w:spacing w:val="-4"/>
          <w:sz w:val="32"/>
          <w:szCs w:val="32"/>
        </w:rPr>
        <w:t>纤维制品、医用纤维制品、地毯、服装等6大类16个产品52个检验参数开展检验、实验分析工作效益，服务企业满意度达到100.00%。绩效目标与实际工作内容一致，两者具有相关性;本项目按照绩效目标完成数量指标、质量指标、时效指标、成本指标，有效保障了</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加工企业满意程度，年度绩效目标完成，预期产出效益和效果符合正常的业绩水平。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9个，定量指标8个，定性指标1个，指标量化率为88.89%，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本项目预算编制通过我单位汇总工作开展实施内容及经费需求，过会后编制实施方案及资金申请报告上报至财政局申请项目资金，即预算编制较科学且经过论证；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预算申请内容为纤维公正检验经费，项目实际内容为和田地区纤维检验所通过健全制度规范，明确了</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公检项目经费管理各个阶段的主要抓手，以狠抓工作落实来强有力地推动了预算项目管理工作。明确细化量化，使项目在立项阶段均定立了明确可考核的绩效目标；在项目实施阶段，主要通过狠抓项目执行情况报告和项目中期检查，及时发现并解决了阻碍项目实施的主要问题；在项目完成阶段，主要通过狠抓项目验收和绩效评价，并把评价结果作为项目立项的重要依据，确保了项目效益的及时发挥。预算申请与《纤维公正检验经费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313.67万元，我单位在预算申请中严格按照单位标准和数量进行核算，其中：单位标准为支付专业人员工资费用116.00万元、购买实验室专用材料及设备费用182.00万元,购买办公耗材品15.67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本项目实际分配资金以《关于申请纤维公正检验经费项目资金的请示》和《纤维公正检验经费项目实施方案》为依据进行资金分配，预算资金分配依据充分。根据《根据财政局部《财政部关于提前下达2023年</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等纤维公证检验经费预算的通知》（财行[2023]9号），和自治区财政厅《关于提前下达2023年度纤维公证检验经费预算的通知》（新财行[2023]9号）资金下达文件》文件显示，本项目实际到位资金313.67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lang w:eastAsia="zh-CN"/>
        </w:rPr>
        <w:tab/>
      </w:r>
    </w:p>
    <w:p w14:paraId="36371A49">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14:paraId="18199333">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本项目预算资金为313.67万元，其中：本级财政安排资金313.67万元，其他资金0.00万元，实际到位资金313.67万元，资金到位率=（313.67/303.67）*100.00%=100.00%。得分=资金到位率*分值=4.00分。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本项目实际支出资金313.67万元，预算执行率=100.00%。得分=5.00分。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和田地区纤维检验所单位资金管理办法》《纤维公正检验经费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纤维公正检验经费资金管理办法》、《行政事业单位收支业务管理制度》、《行政事业单位政府采购业务管理制度》、《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项目工作领导小组，由党组书记刘文令任组长，负责项目的组织工作；包菊红任副组长，负责项目的实施工作；组员包括：游红，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5AE81FF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14:paraId="53EBFC6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（项目产出类指标由4个二级指标和6个三级指标构成，权重分20.00分，实际得分20.00分。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检验公证检验次数(批次)”指标：预期指标值为&gt;=1100批次，实际完成指标值为1100批次，指标完成率为100.00%。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公证检验吨数”指标：预期指标值为&gt;=48293.00顿，实际完成指标值为49620.00吨，指标完成率100.00%。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“完成任务率”指标：预期指标值为100.00%，实际完成指标值为100.00%，指标完成率为100.00%。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“资金支付及时率”指标：预期指标值为100.00%，实际完成指标值为100.00%，指标完成率为100.00%。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“项目完成及时率”指标：预期指标值为100.00%，实际完成指标值为100.00%，指标完成率为100.00%。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“检验设备购置、业务开展支出”指标：预期指标值为&lt;=313.67万元，实际完成指标值为313.67万元，指标完成率为100.00%。</w:t>
      </w:r>
    </w:p>
    <w:p w14:paraId="622C549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14:paraId="138B1A99">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项目效益类指标由2个二级指标和3个三级指标构成，权重分40.00分，实际得分40.00分。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供给侧深化进程”指标：预期指标值为实施</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产业链质量控制，实际完成指标值为基本达成目标，指标完成率为100.00%。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“社会服务能力”指标：预期指标值为&gt;=20.00%，实际完成指标值为20.00%，指标完成率为100.00%。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4.可持续影响完成情况分析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5.满意度指标完成情况分析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天然纤维</w:t>
      </w:r>
      <w:r>
        <w:rPr>
          <w:rStyle w:val="18"/>
          <w:rFonts w:hint="eastAsia" w:ascii="楷体" w:hAnsi="楷体" w:eastAsia="楷体"/>
          <w:b w:val="0"/>
          <w:bCs w:val="0"/>
          <w:spacing w:val="-4"/>
          <w:sz w:val="32"/>
          <w:szCs w:val="32"/>
        </w:rPr>
        <w:t>加工企业满意率”指标：预期指标值为&gt;=98.00%，实际完成指标值为100.00%，指标完成率为100.00%。</w:t>
      </w:r>
    </w:p>
    <w:p w14:paraId="0C9A1187">
      <w:pPr>
        <w:spacing w:line="540" w:lineRule="exact"/>
        <w:ind w:firstLine="567"/>
        <w:rPr>
          <w:rStyle w:val="18"/>
          <w:rFonts w:hint="eastAsia" w:ascii="楷体" w:hAnsi="楷体" w:eastAsia="楷体"/>
          <w:spacing w:val="-4"/>
          <w:sz w:val="32"/>
          <w:szCs w:val="32"/>
        </w:rPr>
      </w:pPr>
    </w:p>
    <w:p w14:paraId="4227B82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14:paraId="28203628">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本项目年初预算资金总额为313.67万元，全年预算数为313.67万元，全年执行数为313.67元，预算执行率为100.00%。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本项目共设置三级指标数量20个，满分指标数量20个，扣分指标数量0个，经分析计算所有三级指标完成率得出，本项目总体完成率为100.00%。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综上所述本项目预算执行率与总体完成率之间的偏差为0.00%。</w:t>
      </w:r>
    </w:p>
    <w:p w14:paraId="4F8399E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14:paraId="7773C261">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以绩效目标实现为导向，进一步加强制度建设，建立健全预算项目管理制度，合理设置内部管理机构和岗位，明确职责权限，强化绩效评价结果应用，发现的问题及时改进，事事有人管，件件有人抓，提高绩效管理工作水平，明确单位内部各个业务归口管理责任，加强对政府采购业务预算与计划管理，建立预算编制，提升编制预算的计划性、科学性和规范性，强化预算绩效意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1、风险管理不够全面，评估和反馈机制需进一步加强建设。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2、缺乏统筹协调，主体责任落实不到位。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3、指标设计的合理性有待提高。</w:t>
      </w:r>
    </w:p>
    <w:p w14:paraId="111373BD">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11FD4C9B">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对于风险管理不够全面，评估和反馈机制需进一步加强建设的问题，我们应采取以下措施。首先，建立全面的风险识别体系，涵盖内部和外部的各种潜在风险因素。组织专业团队定期进行风险评估，不仅关注已知风险，还要善于发现新的风险点。加强风险监控，实时跟踪风险的变化情况。同时，完善评估反馈机制，确保信息能够及时准确地传递和处理。建立畅通的反馈渠道，鼓励各部门和人员积极反馈风险相关信息。根据反馈及时调整风险管理策略，不断优化风险应对方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针对缺乏统筹协调，主体责任落实不到位的情况，要明确各部门的职责和权限，避免职责不清导致的推诿扯皮现象。建立高效的统筹协调机制，定期召开协调会议，加强部门间的沟通与协作。强化主体责任意识，通过培训和教育，让每一位员工都清楚自己的责任所在。建立责任追究制度，对于未能落实责任的行为进行严肃处理，以起到警示作用。制定详细的工作计划和时间表，确保各项工作有序推进，并且明确每个环节的责任主体，保证工作的连贯性和整体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对于指标设计的合理性有待提高的问题，我们需要深入调研和分析，结合实际情况对现有指标进行全面评估。邀请相关领域的专家参与指标设计，确保指标的科学性和专业性。注重指标的可衡量性和可操作性，避免过于模糊或难以实现的指标。定期对指标进行审查和调整，根据实际效果和变化情况及时更新。加强对指标数据的收集和分析，以便更好地了解工作进展和效果。同时，建立动态的指标调整机制，以适应不同阶段和环境的需求。</w:t>
      </w:r>
    </w:p>
    <w:p w14:paraId="575595B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3ECA47CF">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49599194">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63A074D0">
        <w:pPr>
          <w:pStyle w:val="12"/>
          <w:jc w:val="center"/>
        </w:pPr>
        <w:r>
          <w:fldChar w:fldCharType="begin"/>
        </w:r>
        <w:r>
          <w:instrText xml:space="preserve">PAGE   \* MERGEFORMAT</w:instrText>
        </w:r>
        <w:r>
          <w:fldChar w:fldCharType="separate"/>
        </w:r>
        <w:r>
          <w:rPr>
            <w:lang w:val="zh-CN"/>
          </w:rPr>
          <w:t>1</w:t>
        </w:r>
        <w:r>
          <w:fldChar w:fldCharType="end"/>
        </w:r>
      </w:p>
    </w:sdtContent>
  </w:sdt>
  <w:p w14:paraId="0412C066">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0MDBjZTNlYjJjOWU0ODVlM2JiM2U0NDBjOTI0MTg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1AC20662"/>
    <w:rsid w:val="27D84E8E"/>
    <w:rsid w:val="2FFC42D2"/>
    <w:rsid w:val="3029612C"/>
    <w:rsid w:val="32A221C5"/>
    <w:rsid w:val="33F20F2A"/>
    <w:rsid w:val="34C44675"/>
    <w:rsid w:val="3B5B5607"/>
    <w:rsid w:val="3CE21B3C"/>
    <w:rsid w:val="4D2606A1"/>
    <w:rsid w:val="51830480"/>
    <w:rsid w:val="53A616BE"/>
    <w:rsid w:val="54662BFB"/>
    <w:rsid w:val="62051CA5"/>
    <w:rsid w:val="64C47BC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5158</Words>
  <Characters>5467</Characters>
  <Lines>5</Lines>
  <Paragraphs>1</Paragraphs>
  <TotalTime>150</TotalTime>
  <ScaleCrop>false</ScaleCrop>
  <LinksUpToDate>false</LinksUpToDate>
  <CharactersWithSpaces>5688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2024-11-28T06:31:05Z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C734C92AAAF24344A0E4232D8EB3359B</vt:lpwstr>
  </property>
</Properties>
</file>