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0EDDC">
      <w:pPr>
        <w:rPr>
          <w:rFonts w:ascii="黑体" w:hAnsi="黑体" w:eastAsia="黑体"/>
          <w:color w:val="auto"/>
          <w:sz w:val="32"/>
          <w:szCs w:val="32"/>
          <w:highlight w:val="none"/>
        </w:rPr>
      </w:pPr>
    </w:p>
    <w:p w14:paraId="2C19237E">
      <w:pPr>
        <w:jc w:val="center"/>
        <w:rPr>
          <w:rFonts w:ascii="方正小标宋_GBK" w:hAnsi="宋体" w:eastAsia="方正小标宋_GBK"/>
          <w:color w:val="auto"/>
          <w:sz w:val="44"/>
          <w:szCs w:val="44"/>
          <w:highlight w:val="none"/>
        </w:rPr>
      </w:pPr>
    </w:p>
    <w:p w14:paraId="6F92B87F">
      <w:pPr>
        <w:jc w:val="center"/>
        <w:rPr>
          <w:rFonts w:ascii="方正小标宋_GBK" w:hAnsi="宋体" w:eastAsia="方正小标宋_GBK"/>
          <w:color w:val="auto"/>
          <w:sz w:val="44"/>
          <w:szCs w:val="44"/>
          <w:highlight w:val="none"/>
        </w:rPr>
      </w:pPr>
    </w:p>
    <w:p w14:paraId="221E64FD">
      <w:pPr>
        <w:jc w:val="center"/>
        <w:rPr>
          <w:rFonts w:ascii="方正小标宋_GBK" w:hAnsi="宋体" w:eastAsia="方正小标宋_GBK"/>
          <w:color w:val="auto"/>
          <w:sz w:val="44"/>
          <w:szCs w:val="44"/>
          <w:highlight w:val="none"/>
        </w:rPr>
      </w:pPr>
    </w:p>
    <w:p w14:paraId="7CA69DBA">
      <w:pPr>
        <w:jc w:val="center"/>
        <w:rPr>
          <w:rFonts w:ascii="方正小标宋_GBK" w:hAnsi="宋体" w:eastAsia="方正小标宋_GBK"/>
          <w:color w:val="auto"/>
          <w:sz w:val="44"/>
          <w:szCs w:val="44"/>
          <w:highlight w:val="none"/>
        </w:rPr>
      </w:pPr>
    </w:p>
    <w:p w14:paraId="4268BFB7">
      <w:pPr>
        <w:jc w:val="center"/>
        <w:rPr>
          <w:rFonts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和田地区质量与计量检测所2023年度部门决算公开说明</w:t>
      </w:r>
    </w:p>
    <w:p w14:paraId="21112AB5">
      <w:pPr>
        <w:jc w:val="center"/>
        <w:rPr>
          <w:rFonts w:ascii="仿宋_GB2312" w:hAnsi="仿宋_GB2312" w:eastAsia="仿宋_GB2312" w:cs="仿宋_GB2312"/>
          <w:bCs/>
          <w:color w:val="auto"/>
          <w:kern w:val="0"/>
          <w:sz w:val="32"/>
          <w:szCs w:val="32"/>
          <w:highlight w:val="none"/>
        </w:rPr>
      </w:pPr>
      <w:r>
        <w:rPr>
          <w:rFonts w:hint="eastAsia" w:ascii="方正小标宋_GBK" w:hAnsi="宋体" w:eastAsia="方正小标宋_GBK"/>
          <w:color w:val="auto"/>
          <w:sz w:val="44"/>
          <w:szCs w:val="44"/>
          <w:highlight w:val="none"/>
        </w:rPr>
        <w:br w:type="page"/>
      </w:r>
      <w:r>
        <w:rPr>
          <w:rFonts w:hint="eastAsia" w:ascii="仿宋_GB2312" w:hAnsi="仿宋_GB2312" w:eastAsia="仿宋_GB2312" w:cs="仿宋_GB2312"/>
          <w:b/>
          <w:color w:val="auto"/>
          <w:kern w:val="0"/>
          <w:sz w:val="36"/>
          <w:szCs w:val="36"/>
          <w:highlight w:val="none"/>
        </w:rPr>
        <w:t>目  录</w:t>
      </w:r>
    </w:p>
    <w:p w14:paraId="518D7B84">
      <w:pPr>
        <w:pStyle w:val="7"/>
        <w:tabs>
          <w:tab w:val="right" w:pos="8306"/>
        </w:tabs>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color w:val="auto"/>
          <w:highlight w:val="none"/>
        </w:rPr>
        <w:fldChar w:fldCharType="begin"/>
      </w:r>
      <w:r>
        <w:rPr>
          <w:color w:val="auto"/>
          <w:highlight w:val="none"/>
        </w:rPr>
        <w:instrText xml:space="preserve"> HYPERLINK \l "_Toc32314" </w:instrText>
      </w:r>
      <w:r>
        <w:rPr>
          <w:color w:val="auto"/>
          <w:highlight w:val="none"/>
        </w:rPr>
        <w:fldChar w:fldCharType="separate"/>
      </w:r>
      <w:r>
        <w:rPr>
          <w:rFonts w:hint="eastAsia" w:ascii="仿宋_GB2312" w:hAnsi="仿宋_GB2312" w:eastAsia="仿宋_GB2312" w:cs="仿宋_GB2312"/>
          <w:b/>
          <w:bCs/>
          <w:color w:val="auto"/>
          <w:sz w:val="32"/>
          <w:szCs w:val="32"/>
          <w:highlight w:val="none"/>
        </w:rPr>
        <w:t>第一部分 单位概况</w:t>
      </w:r>
      <w:r>
        <w:rPr>
          <w:rFonts w:hint="eastAsia" w:ascii="仿宋_GB2312" w:hAnsi="仿宋_GB2312" w:eastAsia="仿宋_GB2312" w:cs="仿宋_GB2312"/>
          <w:b/>
          <w:bCs/>
          <w:color w:val="auto"/>
          <w:sz w:val="32"/>
          <w:szCs w:val="32"/>
          <w:highlight w:val="none"/>
        </w:rPr>
        <w:fldChar w:fldCharType="end"/>
      </w:r>
    </w:p>
    <w:p w14:paraId="1404AC46">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"_Toc30567"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bCs/>
          <w:color w:val="auto"/>
          <w:kern w:val="0"/>
          <w:sz w:val="32"/>
          <w:szCs w:val="32"/>
          <w:highlight w:val="none"/>
        </w:rPr>
        <w:fldChar w:fldCharType="end"/>
      </w:r>
    </w:p>
    <w:p w14:paraId="55432A08">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"_Toc2151"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二、机构设置及人员情况</w:t>
      </w:r>
      <w:r>
        <w:rPr>
          <w:rFonts w:hint="eastAsia" w:ascii="仿宋_GB2312" w:hAnsi="仿宋_GB2312" w:eastAsia="仿宋_GB2312" w:cs="仿宋_GB2312"/>
          <w:bCs/>
          <w:color w:val="auto"/>
          <w:kern w:val="0"/>
          <w:sz w:val="32"/>
          <w:szCs w:val="32"/>
          <w:highlight w:val="none"/>
        </w:rPr>
        <w:fldChar w:fldCharType="end"/>
      </w:r>
    </w:p>
    <w:p w14:paraId="1AAF0F70">
      <w:pPr>
        <w:pStyle w:val="7"/>
        <w:tabs>
          <w:tab w:val="right" w:pos="8306"/>
        </w:tabs>
        <w:rPr>
          <w:rFonts w:ascii="仿宋_GB2312" w:hAnsi="仿宋_GB2312" w:eastAsia="仿宋_GB2312" w:cs="仿宋_GB2312"/>
          <w:b/>
          <w:bCs/>
          <w:color w:val="auto"/>
          <w:sz w:val="32"/>
          <w:szCs w:val="32"/>
          <w:highlight w:val="none"/>
        </w:rPr>
      </w:pPr>
      <w:r>
        <w:rPr>
          <w:color w:val="auto"/>
          <w:highlight w:val="none"/>
        </w:rPr>
        <w:fldChar w:fldCharType="begin"/>
      </w:r>
      <w:r>
        <w:rPr>
          <w:color w:val="auto"/>
          <w:highlight w:val="none"/>
        </w:rPr>
        <w:instrText xml:space="preserve"> HYPERLINK \l "_Toc29374" </w:instrText>
      </w:r>
      <w:r>
        <w:rPr>
          <w:color w:val="auto"/>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5B89889">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"_Toc25314"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bCs/>
          <w:color w:val="auto"/>
          <w:kern w:val="0"/>
          <w:sz w:val="32"/>
          <w:szCs w:val="32"/>
          <w:highlight w:val="none"/>
        </w:rPr>
        <w:fldChar w:fldCharType="end"/>
      </w:r>
    </w:p>
    <w:p w14:paraId="2539C11B">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"_Toc12142"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二、收入决算情况说明</w:t>
      </w:r>
      <w:r>
        <w:rPr>
          <w:rFonts w:hint="eastAsia" w:ascii="仿宋_GB2312" w:hAnsi="仿宋_GB2312" w:eastAsia="仿宋_GB2312" w:cs="仿宋_GB2312"/>
          <w:bCs/>
          <w:color w:val="auto"/>
          <w:kern w:val="0"/>
          <w:sz w:val="32"/>
          <w:szCs w:val="32"/>
          <w:highlight w:val="none"/>
        </w:rPr>
        <w:fldChar w:fldCharType="end"/>
      </w:r>
    </w:p>
    <w:p w14:paraId="52A70D98">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"_Toc13201"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三、支出决算情况说明</w:t>
      </w:r>
      <w:r>
        <w:rPr>
          <w:rFonts w:hint="eastAsia" w:ascii="仿宋_GB2312" w:hAnsi="仿宋_GB2312" w:eastAsia="仿宋_GB2312" w:cs="仿宋_GB2312"/>
          <w:bCs/>
          <w:color w:val="auto"/>
          <w:kern w:val="0"/>
          <w:sz w:val="32"/>
          <w:szCs w:val="32"/>
          <w:highlight w:val="none"/>
        </w:rPr>
        <w:fldChar w:fldCharType="end"/>
      </w:r>
    </w:p>
    <w:p w14:paraId="135C0C3A">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"_Toc26564"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四、财政拨款收入支出决算总体情况说明</w:t>
      </w:r>
      <w:r>
        <w:rPr>
          <w:rFonts w:hint="eastAsia" w:ascii="仿宋_GB2312" w:hAnsi="仿宋_GB2312" w:eastAsia="仿宋_GB2312" w:cs="仿宋_GB2312"/>
          <w:bCs/>
          <w:color w:val="auto"/>
          <w:kern w:val="0"/>
          <w:sz w:val="32"/>
          <w:szCs w:val="32"/>
          <w:highlight w:val="none"/>
        </w:rPr>
        <w:fldChar w:fldCharType="end"/>
      </w:r>
    </w:p>
    <w:p w14:paraId="69C5338A">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"_Toc20360"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五、一般公共预算财政拨款支出决算情况说明</w:t>
      </w:r>
      <w:r>
        <w:rPr>
          <w:rFonts w:hint="eastAsia" w:ascii="仿宋_GB2312" w:hAnsi="仿宋_GB2312" w:eastAsia="仿宋_GB2312" w:cs="仿宋_GB2312"/>
          <w:bCs/>
          <w:color w:val="auto"/>
          <w:kern w:val="0"/>
          <w:sz w:val="32"/>
          <w:szCs w:val="32"/>
          <w:highlight w:val="none"/>
        </w:rPr>
        <w:fldChar w:fldCharType="end"/>
      </w:r>
    </w:p>
    <w:p w14:paraId="7C78567C">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"_Toc30870"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六、一般公共预算财政拨款基本支出决算情况说明</w:t>
      </w:r>
      <w:r>
        <w:rPr>
          <w:rFonts w:hint="eastAsia" w:ascii="仿宋_GB2312" w:hAnsi="仿宋_GB2312" w:eastAsia="仿宋_GB2312" w:cs="仿宋_GB2312"/>
          <w:bCs/>
          <w:color w:val="auto"/>
          <w:kern w:val="0"/>
          <w:sz w:val="32"/>
          <w:szCs w:val="32"/>
          <w:highlight w:val="none"/>
        </w:rPr>
        <w:fldChar w:fldCharType="end"/>
      </w:r>
    </w:p>
    <w:p w14:paraId="2583C529">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"_Toc21518"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七、财政拨款“三公”经费支出决算情况说明</w:t>
      </w:r>
      <w:r>
        <w:rPr>
          <w:rFonts w:hint="eastAsia" w:ascii="仿宋_GB2312" w:hAnsi="仿宋_GB2312" w:eastAsia="仿宋_GB2312" w:cs="仿宋_GB2312"/>
          <w:bCs/>
          <w:color w:val="auto"/>
          <w:kern w:val="0"/>
          <w:sz w:val="32"/>
          <w:szCs w:val="32"/>
          <w:highlight w:val="none"/>
        </w:rPr>
        <w:fldChar w:fldCharType="end"/>
      </w:r>
    </w:p>
    <w:p w14:paraId="4B4C1271">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"_Toc5810"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八、政府性基金预算财政拨款收入支出决算情况说明</w:t>
      </w:r>
      <w:r>
        <w:rPr>
          <w:rFonts w:hint="eastAsia" w:ascii="仿宋_GB2312" w:hAnsi="仿宋_GB2312" w:eastAsia="仿宋_GB2312" w:cs="仿宋_GB2312"/>
          <w:bCs/>
          <w:color w:val="auto"/>
          <w:kern w:val="0"/>
          <w:sz w:val="32"/>
          <w:szCs w:val="32"/>
          <w:highlight w:val="none"/>
        </w:rPr>
        <w:fldChar w:fldCharType="end"/>
      </w:r>
    </w:p>
    <w:p w14:paraId="1CC94F27">
      <w:pPr>
        <w:rPr>
          <w:color w:val="auto"/>
          <w:highlight w:val="none"/>
        </w:rPr>
      </w:pPr>
      <w:r>
        <w:rPr>
          <w:color w:val="auto"/>
          <w:highlight w:val="none"/>
        </w:rPr>
        <w:fldChar w:fldCharType="begin"/>
      </w:r>
      <w:r>
        <w:rPr>
          <w:color w:val="auto"/>
          <w:highlight w:val="none"/>
        </w:rPr>
        <w:instrText xml:space="preserve"> HYPERLINK \l "_Toc5810"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九、国有资本经营预算财政拨款收入支出决算情况说明</w:t>
      </w:r>
      <w:r>
        <w:rPr>
          <w:rFonts w:hint="eastAsia" w:ascii="仿宋_GB2312" w:hAnsi="仿宋_GB2312" w:eastAsia="仿宋_GB2312" w:cs="仿宋_GB2312"/>
          <w:bCs/>
          <w:color w:val="auto"/>
          <w:kern w:val="0"/>
          <w:sz w:val="32"/>
          <w:szCs w:val="32"/>
          <w:highlight w:val="none"/>
        </w:rPr>
        <w:fldChar w:fldCharType="end"/>
      </w:r>
    </w:p>
    <w:p w14:paraId="3D315A23">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"_Toc1235" </w:instrText>
      </w:r>
      <w:r>
        <w:rPr>
          <w:color w:val="auto"/>
          <w:highlight w:val="none"/>
        </w:rPr>
        <w:fldChar w:fldCharType="separate"/>
      </w:r>
      <w:r>
        <w:rPr>
          <w:rFonts w:hint="eastAsia" w:ascii="仿宋_GB2312" w:hAnsi="仿宋_GB2312" w:eastAsia="仿宋_GB2312" w:cs="仿宋_GB2312"/>
          <w:color w:val="auto"/>
          <w:sz w:val="32"/>
          <w:szCs w:val="32"/>
          <w:highlight w:val="none"/>
        </w:rPr>
        <w:t>十</w:t>
      </w:r>
      <w:r>
        <w:rPr>
          <w:rFonts w:hint="eastAsia" w:ascii="仿宋_GB2312" w:hAnsi="仿宋_GB2312" w:eastAsia="仿宋_GB2312" w:cs="仿宋_GB2312"/>
          <w:bCs/>
          <w:color w:val="auto"/>
          <w:kern w:val="0"/>
          <w:sz w:val="32"/>
          <w:szCs w:val="32"/>
          <w:highlight w:val="none"/>
        </w:rPr>
        <w:t>、其他重要事项的情况说明</w:t>
      </w:r>
      <w:r>
        <w:rPr>
          <w:rFonts w:hint="eastAsia" w:ascii="仿宋_GB2312" w:hAnsi="仿宋_GB2312" w:eastAsia="仿宋_GB2312" w:cs="仿宋_GB2312"/>
          <w:bCs/>
          <w:color w:val="auto"/>
          <w:kern w:val="0"/>
          <w:sz w:val="32"/>
          <w:szCs w:val="32"/>
          <w:highlight w:val="none"/>
        </w:rPr>
        <w:fldChar w:fldCharType="end"/>
      </w:r>
    </w:p>
    <w:p w14:paraId="5C6C27EE">
      <w:pPr>
        <w:pStyle w:val="3"/>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"_Toc14519" </w:instrText>
      </w:r>
      <w:r>
        <w:rPr>
          <w:color w:val="auto"/>
          <w:highlight w:val="none"/>
        </w:rPr>
        <w:fldChar w:fldCharType="separate"/>
      </w:r>
      <w:r>
        <w:rPr>
          <w:rFonts w:hint="eastAsia" w:ascii="仿宋_GB2312" w:hAnsi="仿宋_GB2312" w:eastAsia="仿宋_GB2312" w:cs="仿宋_GB2312"/>
          <w:color w:val="auto"/>
          <w:sz w:val="32"/>
          <w:szCs w:val="32"/>
          <w:highlight w:val="none"/>
        </w:rPr>
        <w:t>（一）机关运行经费支出情况</w:t>
      </w:r>
      <w:r>
        <w:rPr>
          <w:rFonts w:hint="eastAsia" w:ascii="仿宋_GB2312" w:hAnsi="仿宋_GB2312" w:eastAsia="仿宋_GB2312" w:cs="仿宋_GB2312"/>
          <w:color w:val="auto"/>
          <w:sz w:val="32"/>
          <w:szCs w:val="32"/>
          <w:highlight w:val="none"/>
        </w:rPr>
        <w:fldChar w:fldCharType="end"/>
      </w:r>
    </w:p>
    <w:p w14:paraId="3D0258C4">
      <w:pPr>
        <w:pStyle w:val="3"/>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"_Toc227" </w:instrText>
      </w:r>
      <w:r>
        <w:rPr>
          <w:color w:val="auto"/>
          <w:highlight w:val="none"/>
        </w:rPr>
        <w:fldChar w:fldCharType="separate"/>
      </w:r>
      <w:r>
        <w:rPr>
          <w:rFonts w:hint="eastAsia" w:ascii="仿宋_GB2312" w:hAnsi="仿宋_GB2312" w:eastAsia="仿宋_GB2312" w:cs="仿宋_GB2312"/>
          <w:color w:val="auto"/>
          <w:sz w:val="32"/>
          <w:szCs w:val="32"/>
          <w:highlight w:val="none"/>
        </w:rPr>
        <w:t>（二）政府采购情况</w:t>
      </w:r>
      <w:r>
        <w:rPr>
          <w:rFonts w:hint="eastAsia" w:ascii="仿宋_GB2312" w:hAnsi="仿宋_GB2312" w:eastAsia="仿宋_GB2312" w:cs="仿宋_GB2312"/>
          <w:color w:val="auto"/>
          <w:sz w:val="32"/>
          <w:szCs w:val="32"/>
          <w:highlight w:val="none"/>
        </w:rPr>
        <w:fldChar w:fldCharType="end"/>
      </w:r>
    </w:p>
    <w:p w14:paraId="43954EAC">
      <w:pPr>
        <w:pStyle w:val="3"/>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"_Toc8391" </w:instrText>
      </w:r>
      <w:r>
        <w:rPr>
          <w:color w:val="auto"/>
          <w:highlight w:val="none"/>
        </w:rPr>
        <w:fldChar w:fldCharType="separate"/>
      </w:r>
      <w:r>
        <w:rPr>
          <w:rFonts w:hint="eastAsia" w:ascii="仿宋_GB2312" w:hAnsi="仿宋_GB2312" w:eastAsia="仿宋_GB2312" w:cs="仿宋_GB2312"/>
          <w:color w:val="auto"/>
          <w:sz w:val="32"/>
          <w:szCs w:val="32"/>
          <w:highlight w:val="none"/>
        </w:rPr>
        <w:t>（三）国有资产占用情况说明</w:t>
      </w:r>
      <w:r>
        <w:rPr>
          <w:rFonts w:hint="eastAsia" w:ascii="仿宋_GB2312" w:hAnsi="仿宋_GB2312" w:eastAsia="仿宋_GB2312" w:cs="仿宋_GB2312"/>
          <w:color w:val="auto"/>
          <w:sz w:val="32"/>
          <w:szCs w:val="32"/>
          <w:highlight w:val="none"/>
        </w:rPr>
        <w:fldChar w:fldCharType="end"/>
      </w:r>
    </w:p>
    <w:p w14:paraId="6F10C206">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"_Toc11283"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十一、预算绩效的情况说明</w:t>
      </w:r>
      <w:r>
        <w:rPr>
          <w:rFonts w:hint="eastAsia" w:ascii="仿宋_GB2312" w:hAnsi="仿宋_GB2312" w:eastAsia="仿宋_GB2312" w:cs="仿宋_GB2312"/>
          <w:bCs/>
          <w:color w:val="auto"/>
          <w:kern w:val="0"/>
          <w:sz w:val="32"/>
          <w:szCs w:val="32"/>
          <w:highlight w:val="none"/>
        </w:rPr>
        <w:fldChar w:fldCharType="end"/>
      </w:r>
    </w:p>
    <w:p w14:paraId="48FE9193">
      <w:pPr>
        <w:pStyle w:val="8"/>
        <w:tabs>
          <w:tab w:val="right" w:pos="8306"/>
        </w:tabs>
        <w:ind w:left="0" w:left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7BFBF08">
      <w:pPr>
        <w:pStyle w:val="7"/>
        <w:tabs>
          <w:tab w:val="right" w:pos="8306"/>
        </w:tabs>
        <w:rPr>
          <w:rFonts w:ascii="仿宋_GB2312" w:hAnsi="仿宋_GB2312" w:eastAsia="仿宋_GB2312" w:cs="仿宋_GB2312"/>
          <w:b/>
          <w:bCs/>
          <w:color w:val="auto"/>
          <w:sz w:val="32"/>
          <w:szCs w:val="32"/>
          <w:highlight w:val="none"/>
        </w:rPr>
      </w:pPr>
      <w:r>
        <w:rPr>
          <w:color w:val="auto"/>
          <w:highlight w:val="none"/>
        </w:rPr>
        <w:fldChar w:fldCharType="begin"/>
      </w:r>
      <w:r>
        <w:rPr>
          <w:color w:val="auto"/>
          <w:highlight w:val="none"/>
        </w:rPr>
        <w:instrText xml:space="preserve"> HYPERLINK \l "_Toc3250" </w:instrText>
      </w:r>
      <w:r>
        <w:rPr>
          <w:color w:val="auto"/>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2179301B">
      <w:pPr>
        <w:pStyle w:val="7"/>
        <w:tabs>
          <w:tab w:val="right" w:pos="8306"/>
        </w:tabs>
        <w:rPr>
          <w:rFonts w:ascii="仿宋_GB2312" w:hAnsi="仿宋_GB2312" w:eastAsia="仿宋_GB2312" w:cs="仿宋_GB2312"/>
          <w:b/>
          <w:bCs/>
          <w:color w:val="auto"/>
          <w:sz w:val="32"/>
          <w:szCs w:val="32"/>
          <w:highlight w:val="none"/>
        </w:rPr>
      </w:pPr>
      <w:r>
        <w:rPr>
          <w:color w:val="auto"/>
          <w:highlight w:val="none"/>
        </w:rPr>
        <w:fldChar w:fldCharType="begin"/>
      </w:r>
      <w:r>
        <w:rPr>
          <w:color w:val="auto"/>
          <w:highlight w:val="none"/>
        </w:rPr>
        <w:instrText xml:space="preserve"> HYPERLINK \l "_Toc22784" </w:instrText>
      </w:r>
      <w:r>
        <w:rPr>
          <w:color w:val="auto"/>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0936C33F">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"_Toc2183"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bCs/>
          <w:color w:val="auto"/>
          <w:kern w:val="0"/>
          <w:sz w:val="32"/>
          <w:szCs w:val="32"/>
          <w:highlight w:val="none"/>
        </w:rPr>
        <w:fldChar w:fldCharType="end"/>
      </w:r>
    </w:p>
    <w:p w14:paraId="13464CBA">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"_Toc24532"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bCs/>
          <w:color w:val="auto"/>
          <w:kern w:val="0"/>
          <w:sz w:val="32"/>
          <w:szCs w:val="32"/>
          <w:highlight w:val="none"/>
        </w:rPr>
        <w:fldChar w:fldCharType="end"/>
      </w:r>
    </w:p>
    <w:p w14:paraId="3224F131">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"_Toc32434"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bCs/>
          <w:color w:val="auto"/>
          <w:kern w:val="0"/>
          <w:sz w:val="32"/>
          <w:szCs w:val="32"/>
          <w:highlight w:val="none"/>
        </w:rPr>
        <w:fldChar w:fldCharType="end"/>
      </w:r>
    </w:p>
    <w:p w14:paraId="62B532F0">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"_Toc28786"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bCs/>
          <w:color w:val="auto"/>
          <w:kern w:val="0"/>
          <w:sz w:val="32"/>
          <w:szCs w:val="32"/>
          <w:highlight w:val="none"/>
        </w:rPr>
        <w:fldChar w:fldCharType="end"/>
      </w:r>
    </w:p>
    <w:p w14:paraId="4152553F">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"_Toc14869"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bCs/>
          <w:color w:val="auto"/>
          <w:kern w:val="0"/>
          <w:sz w:val="32"/>
          <w:szCs w:val="32"/>
          <w:highlight w:val="none"/>
        </w:rPr>
        <w:fldChar w:fldCharType="end"/>
      </w:r>
    </w:p>
    <w:p w14:paraId="74F7931F">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"_Toc8884"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bCs/>
          <w:color w:val="auto"/>
          <w:kern w:val="0"/>
          <w:sz w:val="32"/>
          <w:szCs w:val="32"/>
          <w:highlight w:val="none"/>
        </w:rPr>
        <w:fldChar w:fldCharType="end"/>
      </w:r>
    </w:p>
    <w:p w14:paraId="57D6ED37">
      <w:pPr>
        <w:pStyle w:val="8"/>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"_Toc29106"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bCs/>
          <w:color w:val="auto"/>
          <w:kern w:val="0"/>
          <w:sz w:val="32"/>
          <w:szCs w:val="32"/>
          <w:highlight w:val="none"/>
        </w:rPr>
        <w:fldChar w:fldCharType="end"/>
      </w:r>
    </w:p>
    <w:p w14:paraId="0AE7E07B">
      <w:pPr>
        <w:pStyle w:val="8"/>
        <w:tabs>
          <w:tab w:val="right" w:pos="8306"/>
        </w:tabs>
        <w:ind w:left="0" w:leftChars="0"/>
        <w:rPr>
          <w:rFonts w:ascii="仿宋_GB2312" w:hAnsi="仿宋_GB2312" w:eastAsia="仿宋_GB2312" w:cs="仿宋_GB2312"/>
          <w:bCs/>
          <w:color w:val="auto"/>
          <w:kern w:val="0"/>
          <w:sz w:val="32"/>
          <w:szCs w:val="32"/>
          <w:highlight w:val="none"/>
        </w:rPr>
      </w:pPr>
      <w:r>
        <w:rPr>
          <w:color w:val="auto"/>
          <w:highlight w:val="none"/>
        </w:rPr>
        <w:fldChar w:fldCharType="begin"/>
      </w:r>
      <w:r>
        <w:rPr>
          <w:color w:val="auto"/>
          <w:highlight w:val="none"/>
        </w:rPr>
        <w:instrText xml:space="preserve"> HYPERLINK \l "_Toc7643"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八、《政府性基金预算财政拨款收入支出决算表》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B986A5F">
      <w:pPr>
        <w:pStyle w:val="8"/>
        <w:tabs>
          <w:tab w:val="right" w:pos="8306"/>
        </w:tabs>
        <w:ind w:left="0" w:leftChars="0"/>
        <w:rPr>
          <w:rFonts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九、《国有资本经营预算财政拨款收入支出决算表》</w:t>
      </w:r>
    </w:p>
    <w:p w14:paraId="5EA3F48F">
      <w:pPr>
        <w:pStyle w:val="7"/>
        <w:tabs>
          <w:tab w:val="right" w:pos="8306"/>
        </w:tabs>
        <w:rPr>
          <w:rFonts w:ascii="仿宋_GB2312" w:hAnsi="仿宋_GB2312" w:eastAsia="仿宋_GB2312" w:cs="仿宋_GB2312"/>
          <w:bCs/>
          <w:color w:val="auto"/>
          <w:kern w:val="0"/>
          <w:sz w:val="32"/>
          <w:szCs w:val="32"/>
          <w:highlight w:val="none"/>
        </w:rPr>
      </w:pPr>
      <w:r>
        <w:rPr>
          <w:rFonts w:hint="eastAsia" w:ascii="仿宋_GB2312" w:hAnsi="仿宋_GB2312" w:eastAsia="仿宋_GB2312" w:cs="仿宋_GB2312"/>
          <w:color w:val="auto"/>
          <w:sz w:val="32"/>
          <w:szCs w:val="32"/>
          <w:highlight w:val="none"/>
        </w:rPr>
        <w:fldChar w:fldCharType="end"/>
      </w:r>
    </w:p>
    <w:p w14:paraId="0D432995">
      <w:pPr>
        <w:rPr>
          <w:color w:val="auto"/>
          <w:highlight w:val="none"/>
        </w:rPr>
      </w:pPr>
      <w:r>
        <w:rPr>
          <w:rFonts w:hint="eastAsia" w:ascii="仿宋_GB2312" w:hAnsi="仿宋_GB2312" w:eastAsia="仿宋_GB2312" w:cs="仿宋_GB2312"/>
          <w:color w:val="auto"/>
          <w:sz w:val="32"/>
          <w:szCs w:val="32"/>
          <w:highlight w:val="none"/>
        </w:rPr>
        <w:fldChar w:fldCharType="end"/>
      </w:r>
    </w:p>
    <w:p w14:paraId="346CAB61">
      <w:pPr>
        <w:ind w:firstLine="640" w:firstLineChars="200"/>
        <w:jc w:val="center"/>
        <w:outlineLvl w:val="0"/>
        <w:rPr>
          <w:rFonts w:ascii="黑体" w:hAnsi="黑体" w:eastAsia="黑体"/>
          <w:color w:val="auto"/>
          <w:sz w:val="32"/>
          <w:szCs w:val="32"/>
          <w:highlight w:val="none"/>
        </w:rPr>
      </w:pPr>
      <w:r>
        <w:rPr>
          <w:rFonts w:hint="eastAsia" w:ascii="仿宋_GB2312" w:eastAsia="仿宋_GB2312"/>
          <w:color w:val="auto"/>
          <w:sz w:val="32"/>
          <w:szCs w:val="32"/>
          <w:highlight w:val="none"/>
        </w:rPr>
        <w:br w:type="page"/>
      </w:r>
      <w:bookmarkStart w:id="0" w:name="_Toc24028"/>
      <w:bookmarkStart w:id="1" w:name="_Toc32314"/>
      <w:r>
        <w:rPr>
          <w:rFonts w:hint="eastAsia" w:ascii="黑体" w:hAnsi="黑体" w:eastAsia="黑体"/>
          <w:color w:val="auto"/>
          <w:sz w:val="32"/>
          <w:szCs w:val="32"/>
          <w:highlight w:val="none"/>
        </w:rPr>
        <w:t>第一部分 单位概况</w:t>
      </w:r>
      <w:bookmarkEnd w:id="0"/>
      <w:bookmarkEnd w:id="1"/>
    </w:p>
    <w:p w14:paraId="2BA54B60">
      <w:pPr>
        <w:ind w:firstLine="640" w:firstLineChars="200"/>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754A0888">
      <w:pPr>
        <w:rPr>
          <w:rFonts w:ascii="黑体" w:hAnsi="黑体" w:eastAsia="黑体" w:cs="宋体"/>
          <w:bCs/>
          <w:color w:val="auto"/>
          <w:kern w:val="0"/>
          <w:sz w:val="32"/>
          <w:szCs w:val="32"/>
          <w:highlight w:val="none"/>
        </w:rPr>
      </w:pPr>
      <w:bookmarkStart w:id="4" w:name="_Toc31238"/>
      <w:bookmarkStart w:id="5" w:name="_Toc2151"/>
      <w:r>
        <w:rPr>
          <w:rFonts w:ascii="仿宋_GB2312" w:eastAsia="仿宋_GB2312"/>
          <w:color w:val="auto"/>
          <w:sz w:val="32"/>
          <w:szCs w:val="32"/>
          <w:highlight w:val="none"/>
        </w:rPr>
        <w:t>　　一、质量检测方面：</w:t>
      </w:r>
      <w:r>
        <w:rPr>
          <w:rFonts w:ascii="仿宋_GB2312" w:eastAsia="仿宋_GB2312"/>
          <w:color w:val="auto"/>
          <w:sz w:val="32"/>
          <w:szCs w:val="32"/>
          <w:highlight w:val="none"/>
        </w:rPr>
        <w:br w:type="textWrapping"/>
      </w:r>
      <w:r>
        <w:rPr>
          <w:rFonts w:ascii="仿宋_GB2312" w:eastAsia="仿宋_GB2312"/>
          <w:color w:val="auto"/>
          <w:sz w:val="32"/>
          <w:szCs w:val="32"/>
          <w:highlight w:val="none"/>
        </w:rPr>
        <w:t>　　1.负责对和田地区各类产品进行质量检验检测，包括但不限于农产品、工业产品等，以确保产品符合相关质量标准。</w:t>
      </w:r>
      <w:r>
        <w:rPr>
          <w:rFonts w:ascii="仿宋_GB2312" w:eastAsia="仿宋_GB2312"/>
          <w:color w:val="auto"/>
          <w:sz w:val="32"/>
          <w:szCs w:val="32"/>
          <w:highlight w:val="none"/>
        </w:rPr>
        <w:br w:type="textWrapping"/>
      </w:r>
      <w:r>
        <w:rPr>
          <w:rFonts w:ascii="仿宋_GB2312" w:eastAsia="仿宋_GB2312"/>
          <w:color w:val="auto"/>
          <w:sz w:val="32"/>
          <w:szCs w:val="32"/>
          <w:highlight w:val="none"/>
        </w:rPr>
        <w:t>　　2.开展质量分析和评估，为企业和政府部门提供产品质量状况的准确信息，帮助企业改进产品质量，为政府决策提供依据。</w:t>
      </w:r>
      <w:r>
        <w:rPr>
          <w:rFonts w:ascii="仿宋_GB2312" w:eastAsia="仿宋_GB2312"/>
          <w:color w:val="auto"/>
          <w:sz w:val="32"/>
          <w:szCs w:val="32"/>
          <w:highlight w:val="none"/>
        </w:rPr>
        <w:br w:type="textWrapping"/>
      </w:r>
      <w:r>
        <w:rPr>
          <w:rFonts w:ascii="仿宋_GB2312" w:eastAsia="仿宋_GB2312"/>
          <w:color w:val="auto"/>
          <w:sz w:val="32"/>
          <w:szCs w:val="32"/>
          <w:highlight w:val="none"/>
        </w:rPr>
        <w:t>　　二、计量检测方面：</w:t>
      </w:r>
      <w:r>
        <w:rPr>
          <w:rFonts w:ascii="仿宋_GB2312" w:eastAsia="仿宋_GB2312"/>
          <w:color w:val="auto"/>
          <w:sz w:val="32"/>
          <w:szCs w:val="32"/>
          <w:highlight w:val="none"/>
        </w:rPr>
        <w:br w:type="textWrapping"/>
      </w:r>
      <w:r>
        <w:rPr>
          <w:rFonts w:ascii="仿宋_GB2312" w:eastAsia="仿宋_GB2312"/>
          <w:color w:val="auto"/>
          <w:sz w:val="32"/>
          <w:szCs w:val="32"/>
          <w:highlight w:val="none"/>
        </w:rPr>
        <w:t>　　1.对各类计量器具进行检定、校准和检测，确保计量器具的准确性和可靠性。例如，对天平、压力表、流量计等计量器具进行检测。</w:t>
      </w:r>
      <w:r>
        <w:rPr>
          <w:rFonts w:ascii="仿宋_GB2312" w:eastAsia="仿宋_GB2312"/>
          <w:color w:val="auto"/>
          <w:sz w:val="32"/>
          <w:szCs w:val="32"/>
          <w:highlight w:val="none"/>
        </w:rPr>
        <w:br w:type="textWrapping"/>
      </w:r>
      <w:r>
        <w:rPr>
          <w:rFonts w:ascii="仿宋_GB2312" w:eastAsia="仿宋_GB2312"/>
          <w:color w:val="auto"/>
          <w:sz w:val="32"/>
          <w:szCs w:val="32"/>
          <w:highlight w:val="none"/>
        </w:rPr>
        <w:t>　　2.承担计量技术研究和服务工作，为企业提供计量技术咨询和培训，帮助企业提高计量管理水平</w:t>
      </w:r>
      <w:r>
        <w:rPr>
          <w:rFonts w:hint="eastAsia" w:ascii="仿宋_GB2312" w:eastAsia="仿宋_GB2312"/>
          <w:color w:val="auto"/>
          <w:sz w:val="32"/>
          <w:szCs w:val="32"/>
          <w:highlight w:val="none"/>
        </w:rPr>
        <w:t>。</w:t>
      </w:r>
    </w:p>
    <w:p w14:paraId="544CB161">
      <w:pPr>
        <w:ind w:firstLine="640" w:firstLineChars="200"/>
        <w:outlineLvl w:val="1"/>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二、机构设置及</w:t>
      </w:r>
      <w:bookmarkEnd w:id="4"/>
      <w:r>
        <w:rPr>
          <w:rFonts w:hint="eastAsia" w:ascii="黑体" w:hAnsi="黑体" w:eastAsia="黑体" w:cs="宋体"/>
          <w:bCs/>
          <w:color w:val="auto"/>
          <w:kern w:val="0"/>
          <w:sz w:val="32"/>
          <w:szCs w:val="32"/>
          <w:highlight w:val="none"/>
        </w:rPr>
        <w:t>人员情况</w:t>
      </w:r>
      <w:bookmarkEnd w:id="5"/>
    </w:p>
    <w:p w14:paraId="3867FE2E">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和田地区质量与计量检测所</w:t>
      </w:r>
      <w:r>
        <w:rPr>
          <w:rFonts w:ascii="仿宋_GB2312" w:eastAsia="仿宋_GB2312"/>
          <w:color w:val="auto"/>
          <w:sz w:val="32"/>
          <w:szCs w:val="32"/>
          <w:highlight w:val="none"/>
        </w:rPr>
        <w:t>2023</w:t>
      </w:r>
      <w:r>
        <w:rPr>
          <w:rFonts w:hint="eastAsia" w:ascii="仿宋_GB2312" w:eastAsia="仿宋_GB2312"/>
          <w:color w:val="auto"/>
          <w:sz w:val="32"/>
          <w:szCs w:val="32"/>
          <w:highlight w:val="none"/>
        </w:rPr>
        <w:t>年度，实有人数</w:t>
      </w:r>
      <w:r>
        <w:rPr>
          <w:rFonts w:ascii="仿宋_GB2312" w:eastAsia="仿宋_GB2312"/>
          <w:color w:val="auto"/>
          <w:sz w:val="32"/>
          <w:szCs w:val="32"/>
          <w:highlight w:val="none"/>
        </w:rPr>
        <w:t>80</w:t>
      </w:r>
      <w:r>
        <w:rPr>
          <w:rFonts w:hint="eastAsia" w:ascii="仿宋_GB2312" w:eastAsia="仿宋_GB2312"/>
          <w:color w:val="auto"/>
          <w:sz w:val="32"/>
          <w:szCs w:val="32"/>
          <w:highlight w:val="none"/>
        </w:rPr>
        <w:t>人，其中：在职人员</w:t>
      </w:r>
      <w:r>
        <w:rPr>
          <w:rFonts w:ascii="仿宋_GB2312" w:eastAsia="仿宋_GB2312"/>
          <w:color w:val="auto"/>
          <w:sz w:val="32"/>
          <w:szCs w:val="32"/>
          <w:highlight w:val="none"/>
        </w:rPr>
        <w:t>41</w:t>
      </w:r>
      <w:r>
        <w:rPr>
          <w:rFonts w:hint="eastAsia" w:ascii="仿宋_GB2312" w:eastAsia="仿宋_GB2312"/>
          <w:color w:val="auto"/>
          <w:sz w:val="32"/>
          <w:szCs w:val="32"/>
          <w:highlight w:val="none"/>
        </w:rPr>
        <w:t>人，离休人员</w:t>
      </w:r>
      <w:r>
        <w:rPr>
          <w:rFonts w:ascii="仿宋_GB2312" w:eastAsia="仿宋_GB2312"/>
          <w:color w:val="auto"/>
          <w:sz w:val="32"/>
          <w:szCs w:val="32"/>
          <w:highlight w:val="none"/>
        </w:rPr>
        <w:t>1</w:t>
      </w:r>
      <w:r>
        <w:rPr>
          <w:rFonts w:hint="eastAsia" w:ascii="仿宋_GB2312" w:eastAsia="仿宋_GB2312"/>
          <w:color w:val="auto"/>
          <w:sz w:val="32"/>
          <w:szCs w:val="32"/>
          <w:highlight w:val="none"/>
        </w:rPr>
        <w:t>人，退休人员</w:t>
      </w:r>
      <w:r>
        <w:rPr>
          <w:rFonts w:ascii="仿宋_GB2312" w:eastAsia="仿宋_GB2312"/>
          <w:color w:val="auto"/>
          <w:sz w:val="32"/>
          <w:szCs w:val="32"/>
          <w:highlight w:val="none"/>
        </w:rPr>
        <w:t>38</w:t>
      </w:r>
      <w:r>
        <w:rPr>
          <w:rFonts w:hint="eastAsia" w:ascii="仿宋_GB2312" w:eastAsia="仿宋_GB2312"/>
          <w:color w:val="auto"/>
          <w:sz w:val="32"/>
          <w:szCs w:val="32"/>
          <w:highlight w:val="none"/>
        </w:rPr>
        <w:t>人。</w:t>
      </w:r>
    </w:p>
    <w:p w14:paraId="5A765ADB">
      <w:pPr>
        <w:ind w:firstLine="640" w:firstLineChars="200"/>
        <w:rPr>
          <w:rFonts w:ascii="仿宋_GB2312" w:eastAsia="仿宋_GB2312"/>
          <w:color w:val="auto"/>
          <w:sz w:val="32"/>
          <w:szCs w:val="32"/>
          <w:highlight w:val="none"/>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rPr>
        <w:t>2</w:t>
      </w:r>
      <w:r>
        <w:rPr>
          <w:rFonts w:hint="eastAsia" w:ascii="仿宋_GB2312" w:hAnsi="黑体" w:eastAsia="仿宋_GB2312" w:cs="宋体"/>
          <w:bCs/>
          <w:color w:val="auto"/>
          <w:kern w:val="0"/>
          <w:sz w:val="32"/>
          <w:szCs w:val="32"/>
          <w:highlight w:val="none"/>
        </w:rPr>
        <w:t>个处室，分别是：财务室、办公室</w:t>
      </w:r>
      <w:r>
        <w:rPr>
          <w:rFonts w:hint="eastAsia" w:ascii="仿宋_GB2312" w:hAnsi="宋体" w:eastAsia="仿宋_GB2312" w:cs="宋体"/>
          <w:color w:val="auto"/>
          <w:kern w:val="0"/>
          <w:sz w:val="32"/>
          <w:szCs w:val="32"/>
          <w:highlight w:val="none"/>
        </w:rPr>
        <w:t>。</w:t>
      </w:r>
    </w:p>
    <w:p w14:paraId="39CC5CFB">
      <w:pPr>
        <w:rPr>
          <w:rFonts w:ascii="黑体" w:hAnsi="黑体" w:eastAsia="黑体"/>
          <w:color w:val="auto"/>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bookmarkStart w:id="6" w:name="_Toc29374"/>
      <w:bookmarkStart w:id="7" w:name="_Toc3092"/>
    </w:p>
    <w:p w14:paraId="306B4FDE">
      <w:pPr>
        <w:rPr>
          <w:color w:val="auto"/>
          <w:highlight w:val="none"/>
        </w:rPr>
      </w:pPr>
      <w:bookmarkStart w:id="8" w:name="_Toc5453"/>
      <w:bookmarkStart w:id="9" w:name="_Toc7643"/>
    </w:p>
    <w:bookmarkEnd w:id="8"/>
    <w:bookmarkEnd w:id="9"/>
    <w:p w14:paraId="56CDD3EA">
      <w:pPr>
        <w:ind w:firstLine="640" w:firstLineChars="200"/>
        <w:jc w:val="center"/>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第二部分 部门决算情况说明</w:t>
      </w:r>
      <w:bookmarkEnd w:id="6"/>
      <w:bookmarkEnd w:id="7"/>
    </w:p>
    <w:p w14:paraId="69F219FC">
      <w:pPr>
        <w:ind w:firstLine="640" w:firstLineChars="200"/>
        <w:outlineLvl w:val="1"/>
        <w:rPr>
          <w:rFonts w:ascii="黑体" w:hAnsi="黑体" w:eastAsia="黑体" w:cs="宋体"/>
          <w:bCs/>
          <w:color w:val="auto"/>
          <w:kern w:val="0"/>
          <w:sz w:val="32"/>
          <w:szCs w:val="32"/>
          <w:highlight w:val="none"/>
        </w:rPr>
      </w:pPr>
      <w:bookmarkStart w:id="10" w:name="_Toc25314"/>
      <w:bookmarkStart w:id="11" w:name="_Toc12566"/>
      <w:r>
        <w:rPr>
          <w:rFonts w:hint="eastAsia" w:ascii="黑体" w:hAnsi="黑体" w:eastAsia="黑体" w:cs="宋体"/>
          <w:bCs/>
          <w:color w:val="auto"/>
          <w:kern w:val="0"/>
          <w:sz w:val="32"/>
          <w:szCs w:val="32"/>
          <w:highlight w:val="none"/>
        </w:rPr>
        <w:t>一、收入支出决算总体情况说明</w:t>
      </w:r>
      <w:bookmarkEnd w:id="10"/>
      <w:bookmarkEnd w:id="11"/>
    </w:p>
    <w:p w14:paraId="011C97EC">
      <w:pPr>
        <w:ind w:firstLine="643" w:firstLineChars="200"/>
        <w:rPr>
          <w:rFonts w:ascii="仿宋_GB2312" w:eastAsia="仿宋_GB2312"/>
          <w:color w:val="auto"/>
          <w:sz w:val="32"/>
          <w:szCs w:val="32"/>
          <w:highlight w:val="none"/>
        </w:rPr>
      </w:pPr>
      <w:r>
        <w:rPr>
          <w:rFonts w:ascii="仿宋_GB2312" w:eastAsia="仿宋_GB2312"/>
          <w:b/>
          <w:bCs/>
          <w:color w:val="auto"/>
          <w:sz w:val="32"/>
          <w:szCs w:val="32"/>
          <w:highlight w:val="none"/>
        </w:rPr>
        <w:t>2023</w:t>
      </w:r>
      <w:r>
        <w:rPr>
          <w:rFonts w:hint="eastAsia" w:ascii="仿宋_GB2312" w:eastAsia="仿宋_GB2312"/>
          <w:b/>
          <w:bCs/>
          <w:color w:val="auto"/>
          <w:sz w:val="32"/>
          <w:szCs w:val="32"/>
          <w:highlight w:val="none"/>
        </w:rPr>
        <w:t>年度收入总计1,424.63万元，</w:t>
      </w:r>
      <w:r>
        <w:rPr>
          <w:rFonts w:hint="eastAsia" w:ascii="仿宋_GB2312" w:eastAsia="仿宋_GB2312"/>
          <w:color w:val="auto"/>
          <w:sz w:val="32"/>
          <w:szCs w:val="32"/>
          <w:highlight w:val="none"/>
        </w:rPr>
        <w:t>其中：本年收入合计</w:t>
      </w:r>
      <w:r>
        <w:rPr>
          <w:rFonts w:ascii="仿宋_GB2312" w:eastAsia="仿宋_GB2312"/>
          <w:color w:val="auto"/>
          <w:sz w:val="32"/>
          <w:szCs w:val="32"/>
          <w:highlight w:val="none"/>
        </w:rPr>
        <w:t>1,295.00</w:t>
      </w:r>
      <w:r>
        <w:rPr>
          <w:rFonts w:hint="eastAsia" w:ascii="仿宋_GB2312" w:eastAsia="仿宋_GB2312"/>
          <w:color w:val="auto"/>
          <w:sz w:val="32"/>
          <w:szCs w:val="32"/>
          <w:highlight w:val="none"/>
        </w:rPr>
        <w:t>万元，使用非财政拨款结余0.00万元，年初结转和结余129.63万元。</w:t>
      </w:r>
    </w:p>
    <w:p w14:paraId="68CD5E65">
      <w:pPr>
        <w:ind w:firstLine="643" w:firstLineChars="200"/>
        <w:rPr>
          <w:rFonts w:ascii="仿宋_GB2312" w:eastAsia="仿宋_GB2312"/>
          <w:color w:val="auto"/>
          <w:sz w:val="32"/>
          <w:szCs w:val="32"/>
          <w:highlight w:val="none"/>
        </w:rPr>
      </w:pPr>
      <w:r>
        <w:rPr>
          <w:rFonts w:ascii="仿宋_GB2312" w:eastAsia="仿宋_GB2312"/>
          <w:b/>
          <w:bCs/>
          <w:color w:val="auto"/>
          <w:sz w:val="32"/>
          <w:szCs w:val="32"/>
          <w:highlight w:val="none"/>
        </w:rPr>
        <w:t>2023</w:t>
      </w:r>
      <w:r>
        <w:rPr>
          <w:rFonts w:hint="eastAsia" w:ascii="仿宋_GB2312" w:eastAsia="仿宋_GB2312"/>
          <w:b/>
          <w:bCs/>
          <w:color w:val="auto"/>
          <w:sz w:val="32"/>
          <w:szCs w:val="32"/>
          <w:highlight w:val="none"/>
        </w:rPr>
        <w:t>年度支出总计1,424.63万元，</w:t>
      </w:r>
      <w:r>
        <w:rPr>
          <w:rFonts w:hint="eastAsia" w:ascii="仿宋_GB2312" w:eastAsia="仿宋_GB2312"/>
          <w:color w:val="auto"/>
          <w:sz w:val="32"/>
          <w:szCs w:val="32"/>
          <w:highlight w:val="none"/>
        </w:rPr>
        <w:t>其中：本年支出合计</w:t>
      </w:r>
      <w:r>
        <w:rPr>
          <w:rFonts w:ascii="仿宋_GB2312" w:eastAsia="仿宋_GB2312"/>
          <w:color w:val="auto"/>
          <w:sz w:val="32"/>
          <w:szCs w:val="32"/>
          <w:highlight w:val="none"/>
        </w:rPr>
        <w:t>1,343.34</w:t>
      </w:r>
      <w:r>
        <w:rPr>
          <w:rFonts w:hint="eastAsia" w:ascii="仿宋_GB2312" w:eastAsia="仿宋_GB2312"/>
          <w:color w:val="auto"/>
          <w:sz w:val="32"/>
          <w:szCs w:val="32"/>
          <w:highlight w:val="none"/>
        </w:rPr>
        <w:t>万元，结余分配0.00万元，年末结转和结余81.28万元。</w:t>
      </w:r>
    </w:p>
    <w:p w14:paraId="2C44E8EC">
      <w:pPr>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收入支出总体与上年相比，</w:t>
      </w:r>
      <w:r>
        <w:rPr>
          <w:rFonts w:hint="eastAsia" w:ascii="仿宋_GB2312" w:eastAsia="仿宋_GB2312"/>
          <w:color w:val="auto"/>
          <w:sz w:val="32"/>
          <w:szCs w:val="32"/>
          <w:highlight w:val="none"/>
        </w:rPr>
        <w:t>减少53.31万元，</w:t>
      </w:r>
      <w:r>
        <w:rPr>
          <w:rFonts w:ascii="仿宋_GB2312" w:eastAsia="仿宋_GB2312"/>
          <w:color w:val="auto"/>
          <w:sz w:val="32"/>
          <w:szCs w:val="32"/>
          <w:highlight w:val="none"/>
        </w:rPr>
        <w:t>下降3.61</w:t>
      </w:r>
      <w:r>
        <w:rPr>
          <w:rFonts w:hint="eastAsia" w:ascii="仿宋_GB2312" w:eastAsia="仿宋_GB2312"/>
          <w:color w:val="auto"/>
          <w:sz w:val="32"/>
          <w:szCs w:val="32"/>
          <w:highlight w:val="none"/>
        </w:rPr>
        <w:t>%，主要原因是：一是在职人员减少，相关人员经费减少；二是检验检测经费项目资金较上年减少。</w:t>
      </w:r>
    </w:p>
    <w:p w14:paraId="10B392D8">
      <w:pPr>
        <w:ind w:firstLine="640" w:firstLineChars="200"/>
        <w:outlineLvl w:val="1"/>
        <w:rPr>
          <w:rFonts w:ascii="黑体" w:hAnsi="黑体" w:eastAsia="黑体" w:cs="宋体"/>
          <w:bCs/>
          <w:color w:val="auto"/>
          <w:kern w:val="0"/>
          <w:sz w:val="32"/>
          <w:szCs w:val="32"/>
          <w:highlight w:val="none"/>
        </w:rPr>
      </w:pPr>
      <w:bookmarkStart w:id="12" w:name="_Toc12142"/>
      <w:bookmarkStart w:id="13" w:name="_Toc1979"/>
      <w:r>
        <w:rPr>
          <w:rFonts w:hint="eastAsia" w:ascii="黑体" w:hAnsi="黑体" w:eastAsia="黑体" w:cs="宋体"/>
          <w:bCs/>
          <w:color w:val="auto"/>
          <w:kern w:val="0"/>
          <w:sz w:val="32"/>
          <w:szCs w:val="32"/>
          <w:highlight w:val="none"/>
        </w:rPr>
        <w:t>二、收入决算情况说明</w:t>
      </w:r>
      <w:bookmarkEnd w:id="12"/>
      <w:bookmarkEnd w:id="13"/>
    </w:p>
    <w:p w14:paraId="0F0D32BC">
      <w:pPr>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本年收入1,295.00万元，</w:t>
      </w:r>
      <w:r>
        <w:rPr>
          <w:rFonts w:hint="eastAsia" w:ascii="仿宋_GB2312" w:eastAsia="仿宋_GB2312"/>
          <w:color w:val="auto"/>
          <w:sz w:val="32"/>
          <w:szCs w:val="32"/>
          <w:highlight w:val="none"/>
        </w:rPr>
        <w:t>其中：财政拨款收入</w:t>
      </w:r>
      <w:r>
        <w:rPr>
          <w:rFonts w:ascii="仿宋_GB2312" w:eastAsia="仿宋_GB2312"/>
          <w:color w:val="auto"/>
          <w:sz w:val="32"/>
          <w:szCs w:val="32"/>
          <w:highlight w:val="none"/>
        </w:rPr>
        <w:t>1,195.04</w:t>
      </w:r>
      <w:r>
        <w:rPr>
          <w:rFonts w:hint="eastAsia" w:ascii="仿宋_GB2312" w:eastAsia="仿宋_GB2312"/>
          <w:color w:val="auto"/>
          <w:sz w:val="32"/>
          <w:szCs w:val="32"/>
          <w:highlight w:val="none"/>
        </w:rPr>
        <w:t>万元，占92.28%；上级补助收入</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万元，占0.00%；事业收入</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万元，占0.00%；经营收入</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万元，占0.00%；附属单位上缴收入</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万元，占0.00%；其他收入</w:t>
      </w:r>
      <w:r>
        <w:rPr>
          <w:rFonts w:ascii="仿宋_GB2312" w:eastAsia="仿宋_GB2312"/>
          <w:color w:val="auto"/>
          <w:sz w:val="32"/>
          <w:szCs w:val="32"/>
          <w:highlight w:val="none"/>
        </w:rPr>
        <w:t>99.96</w:t>
      </w:r>
      <w:r>
        <w:rPr>
          <w:rFonts w:hint="eastAsia" w:ascii="仿宋_GB2312" w:eastAsia="仿宋_GB2312"/>
          <w:color w:val="auto"/>
          <w:sz w:val="32"/>
          <w:szCs w:val="32"/>
          <w:highlight w:val="none"/>
        </w:rPr>
        <w:t>万元，占7.72%。</w:t>
      </w:r>
    </w:p>
    <w:p w14:paraId="370C9540">
      <w:pPr>
        <w:ind w:firstLine="640" w:firstLineChars="200"/>
        <w:outlineLvl w:val="1"/>
        <w:rPr>
          <w:rFonts w:ascii="黑体" w:hAnsi="黑体" w:eastAsia="黑体" w:cs="宋体"/>
          <w:bCs/>
          <w:color w:val="auto"/>
          <w:kern w:val="0"/>
          <w:sz w:val="32"/>
          <w:szCs w:val="32"/>
          <w:highlight w:val="none"/>
        </w:rPr>
      </w:pPr>
      <w:bookmarkStart w:id="14" w:name="_Toc13201"/>
      <w:bookmarkStart w:id="15" w:name="_Toc27961"/>
      <w:r>
        <w:rPr>
          <w:rFonts w:hint="eastAsia" w:ascii="黑体" w:hAnsi="黑体" w:eastAsia="黑体" w:cs="宋体"/>
          <w:bCs/>
          <w:color w:val="auto"/>
          <w:kern w:val="0"/>
          <w:sz w:val="32"/>
          <w:szCs w:val="32"/>
          <w:highlight w:val="none"/>
        </w:rPr>
        <w:t>三、支出决算情况说明</w:t>
      </w:r>
      <w:bookmarkEnd w:id="14"/>
      <w:bookmarkEnd w:id="15"/>
    </w:p>
    <w:p w14:paraId="208D230E">
      <w:pPr>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本年支出1,343.34万元，</w:t>
      </w:r>
      <w:r>
        <w:rPr>
          <w:rFonts w:hint="eastAsia" w:ascii="仿宋_GB2312" w:eastAsia="仿宋_GB2312"/>
          <w:color w:val="auto"/>
          <w:sz w:val="32"/>
          <w:szCs w:val="32"/>
          <w:highlight w:val="none"/>
        </w:rPr>
        <w:t>其中：基本支出</w:t>
      </w:r>
      <w:r>
        <w:rPr>
          <w:rFonts w:ascii="仿宋_GB2312" w:eastAsia="仿宋_GB2312"/>
          <w:color w:val="auto"/>
          <w:sz w:val="32"/>
          <w:szCs w:val="32"/>
          <w:highlight w:val="none"/>
        </w:rPr>
        <w:t>1,222.56</w:t>
      </w:r>
      <w:r>
        <w:rPr>
          <w:rFonts w:hint="eastAsia" w:ascii="仿宋_GB2312" w:eastAsia="仿宋_GB2312"/>
          <w:color w:val="auto"/>
          <w:sz w:val="32"/>
          <w:szCs w:val="32"/>
          <w:highlight w:val="none"/>
        </w:rPr>
        <w:t>万元，占91.01%；项目支出</w:t>
      </w:r>
      <w:r>
        <w:rPr>
          <w:rFonts w:ascii="仿宋_GB2312" w:eastAsia="仿宋_GB2312"/>
          <w:color w:val="auto"/>
          <w:sz w:val="32"/>
          <w:szCs w:val="32"/>
          <w:highlight w:val="none"/>
        </w:rPr>
        <w:t>120.78</w:t>
      </w:r>
      <w:r>
        <w:rPr>
          <w:rFonts w:hint="eastAsia" w:ascii="仿宋_GB2312" w:eastAsia="仿宋_GB2312"/>
          <w:color w:val="auto"/>
          <w:sz w:val="32"/>
          <w:szCs w:val="32"/>
          <w:highlight w:val="none"/>
        </w:rPr>
        <w:t>万元，占8.99%；上缴上级支出</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万元，占0.00%；经营支出</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万元，占</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%；对附属单位补助支出0.00万元，占0.00%。</w:t>
      </w:r>
    </w:p>
    <w:p w14:paraId="3FC4E650">
      <w:pPr>
        <w:ind w:firstLine="640" w:firstLineChars="200"/>
        <w:outlineLvl w:val="1"/>
        <w:rPr>
          <w:rFonts w:ascii="黑体" w:hAnsi="黑体" w:eastAsia="黑体" w:cs="宋体"/>
          <w:bCs/>
          <w:color w:val="auto"/>
          <w:kern w:val="0"/>
          <w:sz w:val="32"/>
          <w:szCs w:val="32"/>
          <w:highlight w:val="none"/>
        </w:rPr>
      </w:pPr>
      <w:bookmarkStart w:id="16" w:name="_Toc4393"/>
      <w:bookmarkStart w:id="17" w:name="_Toc26564"/>
      <w:r>
        <w:rPr>
          <w:rFonts w:hint="eastAsia" w:ascii="黑体" w:hAnsi="黑体" w:eastAsia="黑体" w:cs="宋体"/>
          <w:bCs/>
          <w:color w:val="auto"/>
          <w:kern w:val="0"/>
          <w:sz w:val="32"/>
          <w:szCs w:val="32"/>
          <w:highlight w:val="none"/>
        </w:rPr>
        <w:t>四、财政拨款收入支出决算总体情况说明</w:t>
      </w:r>
      <w:bookmarkEnd w:id="16"/>
      <w:bookmarkEnd w:id="17"/>
    </w:p>
    <w:p w14:paraId="5B1E93E6">
      <w:pPr>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2023年度财政拨款收入总计1,297.10万元，</w:t>
      </w:r>
      <w:r>
        <w:rPr>
          <w:rFonts w:hint="eastAsia" w:ascii="仿宋_GB2312" w:eastAsia="仿宋_GB2312"/>
          <w:color w:val="auto"/>
          <w:sz w:val="32"/>
          <w:szCs w:val="32"/>
          <w:highlight w:val="none"/>
        </w:rPr>
        <w:t>其中：年初财政拨款结转和结余102.06万元，本年财政拨款收入1,195.04万元。</w:t>
      </w:r>
      <w:r>
        <w:rPr>
          <w:rFonts w:hint="eastAsia" w:ascii="仿宋_GB2312" w:eastAsia="仿宋_GB2312"/>
          <w:b/>
          <w:bCs/>
          <w:color w:val="auto"/>
          <w:sz w:val="32"/>
          <w:szCs w:val="32"/>
          <w:highlight w:val="none"/>
        </w:rPr>
        <w:t>财政拨款支出总计1,297.10万元，</w:t>
      </w:r>
      <w:r>
        <w:rPr>
          <w:rFonts w:hint="eastAsia" w:ascii="仿宋_GB2312" w:eastAsia="仿宋_GB2312"/>
          <w:color w:val="auto"/>
          <w:sz w:val="32"/>
          <w:szCs w:val="32"/>
          <w:highlight w:val="none"/>
        </w:rPr>
        <w:t>其中：年末财政拨款结转和结余81.28万元，本年财政拨款支出1,215.82万元。</w:t>
      </w:r>
    </w:p>
    <w:p w14:paraId="6E6A6FEF">
      <w:pPr>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财政拨款收入支出总体与上年相比，</w:t>
      </w:r>
      <w:r>
        <w:rPr>
          <w:rFonts w:hint="eastAsia" w:ascii="仿宋_GB2312" w:eastAsia="仿宋_GB2312"/>
          <w:color w:val="auto"/>
          <w:sz w:val="32"/>
          <w:szCs w:val="32"/>
          <w:highlight w:val="none"/>
        </w:rPr>
        <w:t>减少57.74万元，下降4.26%，主要原因是：一是在职人员减少，相关人员经费减少；二是检验检测经费项目资金较上年减少。</w:t>
      </w:r>
      <w:bookmarkStart w:id="18" w:name="_Toc13833"/>
      <w:bookmarkStart w:id="19" w:name="_Toc20360"/>
      <w:r>
        <w:rPr>
          <w:rFonts w:hint="eastAsia" w:ascii="仿宋_GB2312" w:eastAsia="仿宋_GB2312"/>
          <w:b/>
          <w:bCs/>
          <w:color w:val="auto"/>
          <w:sz w:val="32"/>
          <w:szCs w:val="32"/>
          <w:highlight w:val="none"/>
        </w:rPr>
        <w:t>与年初预算相比，</w:t>
      </w:r>
      <w:r>
        <w:rPr>
          <w:rFonts w:hint="eastAsia" w:ascii="仿宋_GB2312" w:eastAsia="仿宋_GB2312"/>
          <w:color w:val="auto"/>
          <w:sz w:val="32"/>
          <w:szCs w:val="32"/>
          <w:highlight w:val="none"/>
        </w:rPr>
        <w:t>年初预算数1,109.66万元，决算数1,297.10万元，预决算差异率16.89%，主要原因是：年中追加人员工资、社保、公积金基数调增部分资金及检验检测业务经费。</w:t>
      </w:r>
    </w:p>
    <w:p w14:paraId="1C5E3B9B">
      <w:pPr>
        <w:ind w:firstLine="640" w:firstLineChars="200"/>
        <w:outlineLvl w:val="1"/>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五、一般公共预算财政拨款支出决算情况说明</w:t>
      </w:r>
      <w:bookmarkEnd w:id="18"/>
      <w:bookmarkEnd w:id="19"/>
    </w:p>
    <w:p w14:paraId="01309372">
      <w:pPr>
        <w:ind w:firstLine="640" w:firstLineChars="200"/>
        <w:outlineLvl w:val="2"/>
        <w:rPr>
          <w:rFonts w:ascii="黑体" w:hAnsi="黑体" w:eastAsia="黑体"/>
          <w:color w:val="auto"/>
          <w:sz w:val="32"/>
          <w:szCs w:val="32"/>
          <w:highlight w:val="none"/>
        </w:rPr>
      </w:pPr>
      <w:r>
        <w:rPr>
          <w:rFonts w:hint="eastAsia" w:ascii="黑体" w:hAnsi="黑体" w:eastAsia="黑体"/>
          <w:color w:val="auto"/>
          <w:sz w:val="32"/>
          <w:szCs w:val="32"/>
          <w:highlight w:val="none"/>
        </w:rPr>
        <w:t>（一）一般公共预算财政拨款支出决算总体情况</w:t>
      </w:r>
    </w:p>
    <w:p w14:paraId="62659A2A">
      <w:pPr>
        <w:spacing w:line="600" w:lineRule="exact"/>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2023年度一般公共预算财政拨款支出1,215.82万元，</w:t>
      </w:r>
      <w:r>
        <w:rPr>
          <w:rFonts w:hint="eastAsia" w:ascii="仿宋_GB2312" w:eastAsia="仿宋_GB2312"/>
          <w:color w:val="auto"/>
          <w:sz w:val="32"/>
          <w:szCs w:val="32"/>
          <w:highlight w:val="none"/>
        </w:rPr>
        <w:t>占本年支出合计的</w:t>
      </w:r>
      <w:r>
        <w:rPr>
          <w:rFonts w:ascii="仿宋_GB2312" w:eastAsia="仿宋_GB2312"/>
          <w:color w:val="auto"/>
          <w:sz w:val="32"/>
          <w:szCs w:val="32"/>
          <w:highlight w:val="none"/>
        </w:rPr>
        <w:t>90.51</w:t>
      </w:r>
      <w:r>
        <w:rPr>
          <w:rFonts w:hint="eastAsia" w:ascii="仿宋_GB2312" w:eastAsia="仿宋_GB2312"/>
          <w:color w:val="auto"/>
          <w:sz w:val="32"/>
          <w:szCs w:val="32"/>
          <w:highlight w:val="none"/>
        </w:rPr>
        <w:t>%。</w:t>
      </w:r>
      <w:r>
        <w:rPr>
          <w:rFonts w:hint="eastAsia" w:ascii="仿宋_GB2312" w:eastAsia="仿宋_GB2312"/>
          <w:b/>
          <w:bCs/>
          <w:color w:val="auto"/>
          <w:sz w:val="32"/>
          <w:szCs w:val="32"/>
          <w:highlight w:val="none"/>
        </w:rPr>
        <w:t>与上年相比，</w:t>
      </w:r>
      <w:r>
        <w:rPr>
          <w:rFonts w:ascii="仿宋_GB2312" w:eastAsia="仿宋_GB2312"/>
          <w:color w:val="auto"/>
          <w:sz w:val="32"/>
          <w:szCs w:val="32"/>
          <w:highlight w:val="none"/>
        </w:rPr>
        <w:t>减少36.95</w:t>
      </w:r>
      <w:r>
        <w:rPr>
          <w:rFonts w:hint="eastAsia" w:ascii="仿宋_GB2312" w:eastAsia="仿宋_GB2312"/>
          <w:color w:val="auto"/>
          <w:sz w:val="32"/>
          <w:szCs w:val="32"/>
          <w:highlight w:val="none"/>
        </w:rPr>
        <w:t>万元，</w:t>
      </w:r>
      <w:r>
        <w:rPr>
          <w:rFonts w:ascii="仿宋_GB2312" w:eastAsia="仿宋_GB2312"/>
          <w:color w:val="auto"/>
          <w:sz w:val="32"/>
          <w:szCs w:val="32"/>
          <w:highlight w:val="none"/>
        </w:rPr>
        <w:t>下降2.95</w:t>
      </w:r>
      <w:r>
        <w:rPr>
          <w:rFonts w:hint="eastAsia" w:ascii="仿宋_GB2312" w:eastAsia="仿宋_GB2312"/>
          <w:color w:val="auto"/>
          <w:sz w:val="32"/>
          <w:szCs w:val="32"/>
          <w:highlight w:val="none"/>
        </w:rPr>
        <w:t>%，主要原因是：一是在职人员减少，相关人员经费减少；二是检验检测经费项目资金较上年减少。</w:t>
      </w:r>
      <w:r>
        <w:rPr>
          <w:rFonts w:hint="eastAsia" w:ascii="仿宋_GB2312" w:eastAsia="仿宋_GB2312"/>
          <w:b/>
          <w:bCs/>
          <w:color w:val="auto"/>
          <w:sz w:val="32"/>
          <w:szCs w:val="32"/>
          <w:highlight w:val="none"/>
        </w:rPr>
        <w:t>与年初预算相比,</w:t>
      </w:r>
      <w:r>
        <w:rPr>
          <w:rFonts w:hint="eastAsia" w:ascii="仿宋_GB2312" w:eastAsia="仿宋_GB2312"/>
          <w:color w:val="auto"/>
          <w:sz w:val="32"/>
          <w:szCs w:val="32"/>
          <w:highlight w:val="none"/>
        </w:rPr>
        <w:t>年初预算数</w:t>
      </w:r>
      <w:r>
        <w:rPr>
          <w:rFonts w:ascii="仿宋_GB2312" w:eastAsia="仿宋_GB2312"/>
          <w:color w:val="auto"/>
          <w:sz w:val="32"/>
          <w:szCs w:val="32"/>
          <w:highlight w:val="none"/>
        </w:rPr>
        <w:t>1,109.66</w:t>
      </w:r>
      <w:r>
        <w:rPr>
          <w:rFonts w:hint="eastAsia" w:ascii="仿宋_GB2312" w:eastAsia="仿宋_GB2312"/>
          <w:color w:val="auto"/>
          <w:sz w:val="32"/>
          <w:szCs w:val="32"/>
          <w:highlight w:val="none"/>
        </w:rPr>
        <w:t>万元，决算数</w:t>
      </w:r>
      <w:r>
        <w:rPr>
          <w:rFonts w:ascii="仿宋_GB2312" w:eastAsia="仿宋_GB2312"/>
          <w:color w:val="auto"/>
          <w:sz w:val="32"/>
          <w:szCs w:val="32"/>
          <w:highlight w:val="none"/>
        </w:rPr>
        <w:t>1,215.82</w:t>
      </w:r>
      <w:r>
        <w:rPr>
          <w:rFonts w:hint="eastAsia" w:ascii="仿宋_GB2312" w:eastAsia="仿宋_GB2312"/>
          <w:color w:val="auto"/>
          <w:sz w:val="32"/>
          <w:szCs w:val="32"/>
          <w:highlight w:val="none"/>
        </w:rPr>
        <w:t>万元，预决算差异率</w:t>
      </w:r>
      <w:r>
        <w:rPr>
          <w:rFonts w:ascii="仿宋_GB2312" w:eastAsia="仿宋_GB2312"/>
          <w:color w:val="auto"/>
          <w:sz w:val="32"/>
          <w:szCs w:val="32"/>
          <w:highlight w:val="none"/>
        </w:rPr>
        <w:t>9.57</w:t>
      </w:r>
      <w:r>
        <w:rPr>
          <w:rFonts w:hint="eastAsia" w:ascii="仿宋_GB2312" w:eastAsia="仿宋_GB2312"/>
          <w:color w:val="auto"/>
          <w:sz w:val="32"/>
          <w:szCs w:val="32"/>
          <w:highlight w:val="none"/>
        </w:rPr>
        <w:t>%，主要原因是：年中追加人员工资、社保、公积金基数调增部分资金及检验检测业务经费。</w:t>
      </w:r>
    </w:p>
    <w:p w14:paraId="58583D12">
      <w:pPr>
        <w:ind w:firstLine="640" w:firstLineChars="200"/>
        <w:outlineLvl w:val="2"/>
        <w:rPr>
          <w:rFonts w:ascii="黑体" w:hAnsi="黑体" w:eastAsia="黑体"/>
          <w:color w:val="auto"/>
          <w:sz w:val="32"/>
          <w:szCs w:val="32"/>
          <w:highlight w:val="none"/>
        </w:rPr>
      </w:pPr>
      <w:r>
        <w:rPr>
          <w:rFonts w:hint="eastAsia" w:ascii="黑体" w:hAnsi="黑体" w:eastAsia="黑体"/>
          <w:color w:val="auto"/>
          <w:sz w:val="32"/>
          <w:szCs w:val="32"/>
          <w:highlight w:val="none"/>
        </w:rPr>
        <w:t>（二）一般公共预算财政拨款支出决算结构情况</w:t>
      </w:r>
    </w:p>
    <w:p w14:paraId="2D7E8133">
      <w:pPr>
        <w:ind w:firstLine="640" w:firstLineChars="200"/>
        <w:rPr>
          <w:rFonts w:ascii="黑体" w:hAnsi="黑体" w:eastAsia="黑体"/>
          <w:color w:val="auto"/>
          <w:sz w:val="32"/>
          <w:szCs w:val="32"/>
          <w:highlight w:val="none"/>
        </w:rPr>
      </w:pPr>
      <w:r>
        <w:rPr>
          <w:rFonts w:hint="eastAsia" w:ascii="仿宋_GB2312" w:eastAsia="仿宋_GB2312"/>
          <w:color w:val="auto"/>
          <w:sz w:val="32"/>
          <w:szCs w:val="32"/>
          <w:highlight w:val="none"/>
        </w:rPr>
        <w:t>1.一般公共服务支出(类)1,084.29万元,占89.18%。</w:t>
      </w:r>
    </w:p>
    <w:p w14:paraId="7D795604">
      <w:pPr>
        <w:ind w:firstLine="640" w:firstLineChars="200"/>
        <w:outlineLvl w:val="2"/>
        <w:rPr>
          <w:rFonts w:ascii="黑体" w:hAnsi="黑体" w:eastAsia="黑体"/>
          <w:color w:val="auto"/>
          <w:sz w:val="32"/>
          <w:szCs w:val="32"/>
          <w:highlight w:val="none"/>
        </w:rPr>
      </w:pPr>
      <w:r>
        <w:rPr>
          <w:rFonts w:hint="eastAsia" w:ascii="仿宋_GB2312" w:eastAsia="仿宋_GB2312"/>
          <w:color w:val="auto"/>
          <w:sz w:val="32"/>
          <w:szCs w:val="32"/>
          <w:highlight w:val="none"/>
        </w:rPr>
        <w:t>2.社会保障和就业支出(类)131.52万元,占10.82%。</w:t>
      </w:r>
    </w:p>
    <w:p w14:paraId="27445667">
      <w:pPr>
        <w:ind w:firstLine="640" w:firstLineChars="200"/>
        <w:outlineLvl w:val="2"/>
        <w:rPr>
          <w:rFonts w:ascii="黑体" w:hAnsi="黑体" w:eastAsia="黑体"/>
          <w:color w:val="auto"/>
          <w:sz w:val="32"/>
          <w:szCs w:val="32"/>
          <w:highlight w:val="none"/>
        </w:rPr>
      </w:pPr>
      <w:r>
        <w:rPr>
          <w:rFonts w:hint="eastAsia" w:ascii="黑体" w:hAnsi="黑体" w:eastAsia="黑体"/>
          <w:color w:val="auto"/>
          <w:sz w:val="32"/>
          <w:szCs w:val="32"/>
          <w:highlight w:val="none"/>
        </w:rPr>
        <w:t>（三）一般公共预算财政拨款支出决算具体情况</w:t>
      </w:r>
    </w:p>
    <w:p w14:paraId="47BCEC1D">
      <w:pPr>
        <w:ind w:firstLine="640" w:firstLineChars="200"/>
        <w:rPr>
          <w:rFonts w:hint="eastAsia" w:ascii="仿宋_GB2312" w:eastAsia="仿宋_GB2312"/>
          <w:b/>
          <w:bCs/>
          <w:color w:val="auto"/>
          <w:sz w:val="32"/>
          <w:szCs w:val="32"/>
          <w:highlight w:val="none"/>
          <w:lang w:eastAsia="zh-CN"/>
        </w:rPr>
      </w:pPr>
      <w:r>
        <w:rPr>
          <w:rFonts w:hint="eastAsia" w:ascii="仿宋_GB2312" w:eastAsia="仿宋_GB2312"/>
          <w:color w:val="auto"/>
          <w:sz w:val="32"/>
          <w:szCs w:val="32"/>
          <w:highlight w:val="none"/>
        </w:rPr>
        <w:t>1.一般公共服务支出(类)市场监督管理事务(款)事业运行(项):支出决算数为963.51万元，比上年决算增加963.51万元，增长100.00%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主要原因是:2023年功能科目调整，人员经费从行政运行科目调整为事业运行科目</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经费增加</w:t>
      </w:r>
      <w:r>
        <w:rPr>
          <w:rFonts w:hint="eastAsia" w:ascii="仿宋_GB2312" w:eastAsia="仿宋_GB2312"/>
          <w:color w:val="auto"/>
          <w:sz w:val="32"/>
          <w:szCs w:val="32"/>
          <w:highlight w:val="none"/>
          <w:lang w:eastAsia="zh-CN"/>
        </w:rPr>
        <w:t>。</w:t>
      </w:r>
    </w:p>
    <w:p w14:paraId="3258E7B5">
      <w:pPr>
        <w:ind w:firstLine="640" w:firstLineChars="200"/>
        <w:outlineLvl w:val="1"/>
        <w:rPr>
          <w:rFonts w:ascii="黑体" w:hAnsi="黑体" w:eastAsia="黑体" w:cs="宋体"/>
          <w:bCs/>
          <w:color w:val="auto"/>
          <w:kern w:val="0"/>
          <w:sz w:val="32"/>
          <w:szCs w:val="32"/>
          <w:highlight w:val="none"/>
        </w:rPr>
      </w:pPr>
      <w:bookmarkStart w:id="20" w:name="_Toc11146"/>
      <w:bookmarkStart w:id="21" w:name="_Toc30870"/>
      <w:r>
        <w:rPr>
          <w:rFonts w:hint="eastAsia" w:ascii="仿宋_GB2312" w:eastAsia="仿宋_GB2312"/>
          <w:color w:val="auto"/>
          <w:sz w:val="32"/>
          <w:szCs w:val="32"/>
          <w:highlight w:val="none"/>
        </w:rPr>
        <w:t>2.一般公共服务支出(类)市场监督管理事务(款)其他市场监督管理事务(项):支出决算数为120.78万元，比上年决算减少234.09万元，下降65.97%</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主要原因是:检验检测经费项目资金较上年减少</w:t>
      </w:r>
      <w:r>
        <w:rPr>
          <w:rFonts w:hint="eastAsia" w:ascii="仿宋_GB2312" w:eastAsia="仿宋_GB2312"/>
          <w:color w:val="auto"/>
          <w:sz w:val="32"/>
          <w:szCs w:val="32"/>
          <w:highlight w:val="none"/>
          <w:lang w:eastAsia="zh-CN"/>
        </w:rPr>
        <w:t>。</w:t>
      </w:r>
    </w:p>
    <w:p w14:paraId="64DCA809">
      <w:pPr>
        <w:ind w:firstLine="640" w:firstLineChars="200"/>
        <w:outlineLvl w:val="1"/>
        <w:rPr>
          <w:rFonts w:ascii="黑体" w:hAnsi="黑体" w:eastAsia="黑体" w:cs="宋体"/>
          <w:bCs/>
          <w:color w:val="auto"/>
          <w:kern w:val="0"/>
          <w:sz w:val="32"/>
          <w:szCs w:val="32"/>
          <w:highlight w:val="none"/>
        </w:rPr>
      </w:pPr>
      <w:r>
        <w:rPr>
          <w:rFonts w:hint="eastAsia" w:ascii="仿宋_GB2312" w:eastAsia="仿宋_GB2312"/>
          <w:color w:val="auto"/>
          <w:sz w:val="32"/>
          <w:szCs w:val="32"/>
          <w:highlight w:val="none"/>
        </w:rPr>
        <w:t>3.社会保障和就业支出(类)行政事业单位养老支出(款)机关事业单位基本养老保险缴费支出(项):支出决算数为87.22万元，比上年决算增加8.74万元，增长11.14%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主要原因是:在职人员工资调增，养老保险缴费增加</w:t>
      </w:r>
      <w:r>
        <w:rPr>
          <w:rFonts w:hint="eastAsia" w:ascii="仿宋_GB2312" w:eastAsia="仿宋_GB2312"/>
          <w:color w:val="auto"/>
          <w:sz w:val="32"/>
          <w:szCs w:val="32"/>
          <w:highlight w:val="none"/>
          <w:lang w:eastAsia="zh-CN"/>
        </w:rPr>
        <w:t>。</w:t>
      </w:r>
    </w:p>
    <w:p w14:paraId="02C66831">
      <w:pPr>
        <w:ind w:firstLine="640" w:firstLineChars="200"/>
        <w:outlineLvl w:val="1"/>
        <w:rPr>
          <w:rFonts w:ascii="黑体" w:hAnsi="黑体" w:eastAsia="黑体" w:cs="宋体"/>
          <w:bCs/>
          <w:color w:val="auto"/>
          <w:kern w:val="0"/>
          <w:sz w:val="32"/>
          <w:szCs w:val="32"/>
          <w:highlight w:val="none"/>
        </w:rPr>
      </w:pPr>
      <w:r>
        <w:rPr>
          <w:rFonts w:hint="eastAsia" w:ascii="仿宋_GB2312" w:eastAsia="仿宋_GB2312"/>
          <w:color w:val="auto"/>
          <w:sz w:val="32"/>
          <w:szCs w:val="32"/>
          <w:highlight w:val="none"/>
        </w:rPr>
        <w:t>4.社会保障和就业支出(类)行政事业单位养老支出(款)机关事业单位职业年金缴费支出(项):支出决算数为44.30万元，比上年决算增加44.30万元，增长100.00%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主要原因是:本年退休及调出人员增加，缴纳人员职业年金</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经费增加</w:t>
      </w:r>
      <w:r>
        <w:rPr>
          <w:rFonts w:hint="eastAsia" w:ascii="仿宋_GB2312" w:eastAsia="仿宋_GB2312"/>
          <w:color w:val="auto"/>
          <w:sz w:val="32"/>
          <w:szCs w:val="32"/>
          <w:highlight w:val="none"/>
          <w:lang w:eastAsia="zh-CN"/>
        </w:rPr>
        <w:t>。</w:t>
      </w:r>
    </w:p>
    <w:p w14:paraId="61E3E882">
      <w:pPr>
        <w:ind w:firstLine="640" w:firstLineChars="200"/>
        <w:outlineLvl w:val="1"/>
        <w:rPr>
          <w:rFonts w:ascii="黑体" w:hAnsi="黑体" w:eastAsia="黑体" w:cs="宋体"/>
          <w:bCs/>
          <w:color w:val="auto"/>
          <w:kern w:val="0"/>
          <w:sz w:val="32"/>
          <w:szCs w:val="32"/>
          <w:highlight w:val="none"/>
        </w:rPr>
      </w:pPr>
      <w:r>
        <w:rPr>
          <w:rFonts w:hint="eastAsia" w:ascii="仿宋_GB2312" w:eastAsia="仿宋_GB2312"/>
          <w:color w:val="auto"/>
          <w:sz w:val="32"/>
          <w:szCs w:val="32"/>
          <w:highlight w:val="none"/>
        </w:rPr>
        <w:t>5.一般公共服务支出(类)市场监督管理事务(款)行政运行(项):支出决算数为0.00万元，比上年决算减少819.43万元，下降100%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主要原因是:2023年功能科目调整，人员经费从行政运行科目调整为事业运行科目</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经费减少</w:t>
      </w:r>
      <w:r>
        <w:rPr>
          <w:rFonts w:hint="eastAsia" w:ascii="仿宋_GB2312" w:eastAsia="仿宋_GB2312"/>
          <w:color w:val="auto"/>
          <w:sz w:val="32"/>
          <w:szCs w:val="32"/>
          <w:highlight w:val="none"/>
          <w:lang w:eastAsia="zh-CN"/>
        </w:rPr>
        <w:t>。</w:t>
      </w:r>
    </w:p>
    <w:p w14:paraId="26EE86ED">
      <w:pPr>
        <w:ind w:firstLine="640" w:firstLineChars="200"/>
        <w:outlineLvl w:val="1"/>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六、一般公共预算财政拨款基本支出决算情况说明</w:t>
      </w:r>
      <w:bookmarkEnd w:id="20"/>
      <w:bookmarkEnd w:id="21"/>
    </w:p>
    <w:p w14:paraId="769F3204">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2023</w:t>
      </w:r>
      <w:r>
        <w:rPr>
          <w:rFonts w:hint="eastAsia" w:ascii="仿宋_GB2312" w:eastAsia="仿宋_GB2312"/>
          <w:color w:val="auto"/>
          <w:sz w:val="32"/>
          <w:szCs w:val="32"/>
          <w:highlight w:val="none"/>
        </w:rPr>
        <w:t>年度一般公共预算财政拨款基本支出</w:t>
      </w:r>
      <w:r>
        <w:rPr>
          <w:rFonts w:ascii="仿宋_GB2312" w:eastAsia="仿宋_GB2312"/>
          <w:color w:val="auto"/>
          <w:sz w:val="32"/>
          <w:szCs w:val="32"/>
          <w:highlight w:val="none"/>
        </w:rPr>
        <w:t>1,095.04</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人员经费1,031.78万元，</w:t>
      </w:r>
      <w:r>
        <w:rPr>
          <w:rFonts w:hint="eastAsia" w:ascii="仿宋_GB2312" w:eastAsia="仿宋_GB2312"/>
          <w:color w:val="auto"/>
          <w:sz w:val="32"/>
          <w:szCs w:val="32"/>
          <w:highlight w:val="none"/>
        </w:rPr>
        <w:t>包括：基本工资、津贴补贴、绩效工资、机关事业单位基本养老保险缴费、职业年金缴费、职工基本医疗保险缴费、其他社会保障缴费、住房公积金、离休费、退休费、生活补助、奖励金。</w:t>
      </w:r>
    </w:p>
    <w:p w14:paraId="2FBD913B">
      <w:pPr>
        <w:ind w:firstLine="643" w:firstLineChars="200"/>
        <w:rPr>
          <w:rFonts w:ascii="仿宋_GB2312" w:hAnsi="宋体" w:eastAsia="仿宋_GB2312" w:cs="宋体"/>
          <w:color w:val="auto"/>
          <w:kern w:val="0"/>
          <w:sz w:val="32"/>
          <w:szCs w:val="32"/>
          <w:highlight w:val="none"/>
        </w:rPr>
      </w:pPr>
      <w:r>
        <w:rPr>
          <w:rFonts w:hint="eastAsia" w:ascii="仿宋_GB2312" w:eastAsia="仿宋_GB2312"/>
          <w:b/>
          <w:bCs/>
          <w:color w:val="auto"/>
          <w:sz w:val="32"/>
          <w:szCs w:val="32"/>
          <w:highlight w:val="none"/>
        </w:rPr>
        <w:t>公用经费63.26万元，</w:t>
      </w:r>
      <w:r>
        <w:rPr>
          <w:rFonts w:hint="eastAsia" w:ascii="仿宋_GB2312" w:eastAsia="仿宋_GB2312"/>
          <w:color w:val="auto"/>
          <w:sz w:val="32"/>
          <w:szCs w:val="32"/>
          <w:highlight w:val="none"/>
        </w:rPr>
        <w:t>包括：水费、电费、邮电费、取暖费、差旅费、维修（护）费、培训费、劳务费、工会经费、福利费、公务用车运行维护费、其他商品和服务支出、办公设备购置。</w:t>
      </w:r>
    </w:p>
    <w:p w14:paraId="318BE359">
      <w:pPr>
        <w:ind w:firstLine="640" w:firstLineChars="200"/>
        <w:outlineLvl w:val="1"/>
        <w:rPr>
          <w:rFonts w:ascii="黑体" w:hAnsi="黑体" w:eastAsia="黑体" w:cs="宋体"/>
          <w:bCs/>
          <w:color w:val="auto"/>
          <w:kern w:val="0"/>
          <w:sz w:val="32"/>
          <w:szCs w:val="32"/>
          <w:highlight w:val="none"/>
        </w:rPr>
      </w:pPr>
      <w:bookmarkStart w:id="22" w:name="_Toc7190"/>
      <w:bookmarkStart w:id="23" w:name="_Toc21518"/>
      <w:r>
        <w:rPr>
          <w:rFonts w:hint="eastAsia" w:ascii="黑体" w:hAnsi="黑体" w:eastAsia="黑体" w:cs="宋体"/>
          <w:bCs/>
          <w:color w:val="auto"/>
          <w:kern w:val="0"/>
          <w:sz w:val="32"/>
          <w:szCs w:val="32"/>
          <w:highlight w:val="none"/>
        </w:rPr>
        <w:t>七、财政拨款“三公”经费支出决算情况说明</w:t>
      </w:r>
      <w:bookmarkEnd w:id="22"/>
      <w:bookmarkEnd w:id="23"/>
    </w:p>
    <w:p w14:paraId="2854D4D1">
      <w:pPr>
        <w:ind w:firstLine="643" w:firstLineChars="200"/>
        <w:rPr>
          <w:rFonts w:ascii="仿宋_GB2312" w:eastAsia="仿宋_GB2312"/>
          <w:color w:val="auto"/>
          <w:sz w:val="32"/>
          <w:szCs w:val="32"/>
          <w:highlight w:val="none"/>
        </w:rPr>
      </w:pPr>
      <w:r>
        <w:rPr>
          <w:rFonts w:ascii="仿宋_GB2312" w:eastAsia="仿宋_GB2312"/>
          <w:b/>
          <w:bCs/>
          <w:color w:val="auto"/>
          <w:sz w:val="32"/>
          <w:szCs w:val="32"/>
          <w:highlight w:val="none"/>
        </w:rPr>
        <w:t>2023</w:t>
      </w:r>
      <w:r>
        <w:rPr>
          <w:rFonts w:hint="eastAsia" w:ascii="仿宋_GB2312" w:eastAsia="仿宋_GB2312"/>
          <w:b/>
          <w:bCs/>
          <w:color w:val="auto"/>
          <w:sz w:val="32"/>
          <w:szCs w:val="32"/>
          <w:highlight w:val="none"/>
        </w:rPr>
        <w:t>年度财政拨款“三公”经费支出</w:t>
      </w:r>
      <w:r>
        <w:rPr>
          <w:rFonts w:ascii="仿宋_GB2312" w:eastAsia="仿宋_GB2312"/>
          <w:b/>
          <w:bCs/>
          <w:color w:val="auto"/>
          <w:sz w:val="32"/>
          <w:szCs w:val="32"/>
          <w:highlight w:val="none"/>
        </w:rPr>
        <w:t>12.68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比上年</w:t>
      </w:r>
      <w:r>
        <w:rPr>
          <w:rFonts w:ascii="仿宋_GB2312" w:eastAsia="仿宋_GB2312"/>
          <w:color w:val="auto"/>
          <w:sz w:val="32"/>
          <w:szCs w:val="32"/>
          <w:highlight w:val="none"/>
        </w:rPr>
        <w:t>增加6.68</w:t>
      </w:r>
      <w:r>
        <w:rPr>
          <w:rFonts w:hint="eastAsia" w:ascii="仿宋_GB2312" w:eastAsia="仿宋_GB2312"/>
          <w:color w:val="auto"/>
          <w:sz w:val="32"/>
          <w:szCs w:val="32"/>
          <w:highlight w:val="none"/>
        </w:rPr>
        <w:t>万元，</w:t>
      </w:r>
      <w:r>
        <w:rPr>
          <w:rFonts w:ascii="仿宋_GB2312" w:eastAsia="仿宋_GB2312"/>
          <w:color w:val="auto"/>
          <w:sz w:val="32"/>
          <w:szCs w:val="32"/>
          <w:highlight w:val="none"/>
        </w:rPr>
        <w:t>增长111.33</w:t>
      </w:r>
      <w:r>
        <w:rPr>
          <w:rFonts w:hint="eastAsia" w:ascii="仿宋_GB2312" w:eastAsia="仿宋_GB2312"/>
          <w:color w:val="auto"/>
          <w:sz w:val="32"/>
          <w:szCs w:val="32"/>
          <w:highlight w:val="none"/>
        </w:rPr>
        <w:t>%，主要原因是：</w:t>
      </w:r>
      <w:r>
        <w:rPr>
          <w:rFonts w:ascii="仿宋_GB2312" w:eastAsia="仿宋_GB2312"/>
          <w:color w:val="auto"/>
          <w:sz w:val="32"/>
          <w:szCs w:val="32"/>
          <w:highlight w:val="none"/>
        </w:rPr>
        <w:t>本单位车辆基本上都是老式车辆，车辆维修维护经费增加</w:t>
      </w:r>
      <w:r>
        <w:rPr>
          <w:rFonts w:hint="eastAsia" w:ascii="仿宋_GB2312" w:eastAsia="仿宋_GB2312"/>
          <w:color w:val="auto"/>
          <w:sz w:val="32"/>
          <w:szCs w:val="32"/>
          <w:highlight w:val="none"/>
        </w:rPr>
        <w:t>。其中：因公出国（境）费支出</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万元，占</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%，比上年</w:t>
      </w:r>
      <w:r>
        <w:rPr>
          <w:rFonts w:ascii="仿宋_GB2312" w:eastAsia="仿宋_GB2312"/>
          <w:color w:val="auto"/>
          <w:sz w:val="32"/>
          <w:szCs w:val="32"/>
          <w:highlight w:val="none"/>
        </w:rPr>
        <w:t>增加0.00</w:t>
      </w:r>
      <w:r>
        <w:rPr>
          <w:rFonts w:hint="eastAsia" w:ascii="仿宋_GB2312" w:eastAsia="仿宋_GB2312"/>
          <w:color w:val="auto"/>
          <w:sz w:val="32"/>
          <w:szCs w:val="32"/>
          <w:highlight w:val="none"/>
        </w:rPr>
        <w:t>万元，</w:t>
      </w:r>
      <w:r>
        <w:rPr>
          <w:rFonts w:ascii="仿宋_GB2312" w:eastAsia="仿宋_GB2312"/>
          <w:color w:val="auto"/>
          <w:sz w:val="32"/>
          <w:szCs w:val="32"/>
          <w:highlight w:val="none"/>
        </w:rPr>
        <w:t>增长0.00</w:t>
      </w:r>
      <w:r>
        <w:rPr>
          <w:rFonts w:hint="eastAsia" w:ascii="仿宋_GB2312" w:eastAsia="仿宋_GB2312"/>
          <w:color w:val="auto"/>
          <w:sz w:val="32"/>
          <w:szCs w:val="32"/>
          <w:highlight w:val="none"/>
        </w:rPr>
        <w:t>%，主要原因是：</w:t>
      </w:r>
      <w:r>
        <w:rPr>
          <w:rFonts w:ascii="仿宋_GB2312" w:eastAsia="仿宋_GB2312"/>
          <w:color w:val="auto"/>
          <w:sz w:val="32"/>
          <w:szCs w:val="32"/>
          <w:highlight w:val="none"/>
        </w:rPr>
        <w:t>我单位无因公出国（境）费</w:t>
      </w:r>
      <w:r>
        <w:rPr>
          <w:rFonts w:hint="eastAsia" w:ascii="仿宋_GB2312" w:eastAsia="仿宋_GB2312"/>
          <w:color w:val="auto"/>
          <w:sz w:val="32"/>
          <w:szCs w:val="32"/>
          <w:highlight w:val="none"/>
        </w:rPr>
        <w:t>；公务用车购置及运行维护费支出</w:t>
      </w:r>
      <w:r>
        <w:rPr>
          <w:rFonts w:ascii="仿宋_GB2312" w:eastAsia="仿宋_GB2312"/>
          <w:color w:val="auto"/>
          <w:sz w:val="32"/>
          <w:szCs w:val="32"/>
          <w:highlight w:val="none"/>
        </w:rPr>
        <w:t>12.68</w:t>
      </w:r>
      <w:r>
        <w:rPr>
          <w:rFonts w:hint="eastAsia" w:ascii="仿宋_GB2312" w:eastAsia="仿宋_GB2312"/>
          <w:color w:val="auto"/>
          <w:sz w:val="32"/>
          <w:szCs w:val="32"/>
          <w:highlight w:val="none"/>
        </w:rPr>
        <w:t>万元，占</w:t>
      </w:r>
      <w:r>
        <w:rPr>
          <w:rFonts w:ascii="仿宋_GB2312" w:eastAsia="仿宋_GB2312"/>
          <w:color w:val="auto"/>
          <w:sz w:val="32"/>
          <w:szCs w:val="32"/>
          <w:highlight w:val="none"/>
        </w:rPr>
        <w:t>100.00</w:t>
      </w:r>
      <w:r>
        <w:rPr>
          <w:rFonts w:hint="eastAsia" w:ascii="仿宋_GB2312" w:eastAsia="仿宋_GB2312"/>
          <w:color w:val="auto"/>
          <w:sz w:val="32"/>
          <w:szCs w:val="32"/>
          <w:highlight w:val="none"/>
        </w:rPr>
        <w:t>%，比上年</w:t>
      </w:r>
      <w:r>
        <w:rPr>
          <w:rFonts w:ascii="仿宋_GB2312" w:eastAsia="仿宋_GB2312"/>
          <w:color w:val="auto"/>
          <w:sz w:val="32"/>
          <w:szCs w:val="32"/>
          <w:highlight w:val="none"/>
        </w:rPr>
        <w:t>增加6.68</w:t>
      </w:r>
      <w:r>
        <w:rPr>
          <w:rFonts w:hint="eastAsia" w:ascii="仿宋_GB2312" w:eastAsia="仿宋_GB2312"/>
          <w:color w:val="auto"/>
          <w:sz w:val="32"/>
          <w:szCs w:val="32"/>
          <w:highlight w:val="none"/>
        </w:rPr>
        <w:t>万元，</w:t>
      </w:r>
      <w:r>
        <w:rPr>
          <w:rFonts w:ascii="仿宋_GB2312" w:eastAsia="仿宋_GB2312"/>
          <w:color w:val="auto"/>
          <w:sz w:val="32"/>
          <w:szCs w:val="32"/>
          <w:highlight w:val="none"/>
        </w:rPr>
        <w:t>增长111.33</w:t>
      </w:r>
      <w:r>
        <w:rPr>
          <w:rFonts w:hint="eastAsia" w:ascii="仿宋_GB2312" w:eastAsia="仿宋_GB2312"/>
          <w:color w:val="auto"/>
          <w:sz w:val="32"/>
          <w:szCs w:val="32"/>
          <w:highlight w:val="none"/>
        </w:rPr>
        <w:t>%，主要原因是：</w:t>
      </w:r>
      <w:r>
        <w:rPr>
          <w:rFonts w:ascii="仿宋_GB2312" w:eastAsia="仿宋_GB2312"/>
          <w:color w:val="auto"/>
          <w:sz w:val="32"/>
          <w:szCs w:val="32"/>
          <w:highlight w:val="none"/>
        </w:rPr>
        <w:t>本单位车辆基本上都是老式车辆，车辆维修维护经费增加</w:t>
      </w:r>
      <w:r>
        <w:rPr>
          <w:rFonts w:hint="eastAsia" w:ascii="仿宋_GB2312" w:eastAsia="仿宋_GB2312"/>
          <w:color w:val="auto"/>
          <w:sz w:val="32"/>
          <w:szCs w:val="32"/>
          <w:highlight w:val="none"/>
        </w:rPr>
        <w:t>；公务接待费支出</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万元，占</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%，比上年</w:t>
      </w:r>
      <w:r>
        <w:rPr>
          <w:rFonts w:ascii="仿宋_GB2312" w:eastAsia="仿宋_GB2312"/>
          <w:color w:val="auto"/>
          <w:sz w:val="32"/>
          <w:szCs w:val="32"/>
          <w:highlight w:val="none"/>
        </w:rPr>
        <w:t>增加0.00</w:t>
      </w:r>
      <w:r>
        <w:rPr>
          <w:rFonts w:hint="eastAsia" w:ascii="仿宋_GB2312" w:eastAsia="仿宋_GB2312"/>
          <w:color w:val="auto"/>
          <w:sz w:val="32"/>
          <w:szCs w:val="32"/>
          <w:highlight w:val="none"/>
        </w:rPr>
        <w:t>万元，</w:t>
      </w:r>
      <w:r>
        <w:rPr>
          <w:rFonts w:ascii="仿宋_GB2312" w:eastAsia="仿宋_GB2312"/>
          <w:color w:val="auto"/>
          <w:sz w:val="32"/>
          <w:szCs w:val="32"/>
          <w:highlight w:val="none"/>
        </w:rPr>
        <w:t>增长0.00</w:t>
      </w:r>
      <w:r>
        <w:rPr>
          <w:rFonts w:hint="eastAsia" w:ascii="仿宋_GB2312" w:eastAsia="仿宋_GB2312"/>
          <w:color w:val="auto"/>
          <w:sz w:val="32"/>
          <w:szCs w:val="32"/>
          <w:highlight w:val="none"/>
        </w:rPr>
        <w:t>%，主要原因是：</w:t>
      </w:r>
      <w:r>
        <w:rPr>
          <w:rFonts w:ascii="仿宋_GB2312" w:eastAsia="仿宋_GB2312"/>
          <w:color w:val="auto"/>
          <w:sz w:val="32"/>
          <w:szCs w:val="32"/>
          <w:highlight w:val="none"/>
        </w:rPr>
        <w:t>我单位无公务接待费</w:t>
      </w:r>
      <w:r>
        <w:rPr>
          <w:rFonts w:hint="eastAsia" w:ascii="仿宋_GB2312" w:eastAsia="仿宋_GB2312"/>
          <w:color w:val="auto"/>
          <w:sz w:val="32"/>
          <w:szCs w:val="32"/>
          <w:highlight w:val="none"/>
        </w:rPr>
        <w:t>。</w:t>
      </w:r>
    </w:p>
    <w:p w14:paraId="149BF96C">
      <w:pPr>
        <w:ind w:firstLine="643" w:firstLineChars="200"/>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具体情况如下：</w:t>
      </w:r>
    </w:p>
    <w:p w14:paraId="5605577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因公出国（境）费支出</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万元，开支内容包括我单位无因公出国（境）费。单位全年安排的因公出国（境）团组</w:t>
      </w:r>
      <w:r>
        <w:rPr>
          <w:rFonts w:ascii="仿宋_GB2312" w:eastAsia="仿宋_GB2312"/>
          <w:color w:val="auto"/>
          <w:sz w:val="32"/>
          <w:szCs w:val="32"/>
          <w:highlight w:val="none"/>
        </w:rPr>
        <w:t>0</w:t>
      </w:r>
      <w:r>
        <w:rPr>
          <w:rFonts w:hint="eastAsia" w:ascii="仿宋_GB2312" w:eastAsia="仿宋_GB2312"/>
          <w:color w:val="auto"/>
          <w:sz w:val="32"/>
          <w:szCs w:val="32"/>
          <w:highlight w:val="none"/>
        </w:rPr>
        <w:t>个，因公出国（境）0人次。</w:t>
      </w:r>
    </w:p>
    <w:p w14:paraId="136D6F57">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公务用车购置及运行维护费</w:t>
      </w:r>
      <w:r>
        <w:rPr>
          <w:rFonts w:ascii="仿宋_GB2312" w:eastAsia="仿宋_GB2312"/>
          <w:color w:val="auto"/>
          <w:sz w:val="32"/>
          <w:szCs w:val="32"/>
          <w:highlight w:val="none"/>
        </w:rPr>
        <w:t>12.68</w:t>
      </w:r>
      <w:r>
        <w:rPr>
          <w:rFonts w:hint="eastAsia" w:ascii="仿宋_GB2312" w:eastAsia="仿宋_GB2312"/>
          <w:color w:val="auto"/>
          <w:sz w:val="32"/>
          <w:szCs w:val="32"/>
          <w:highlight w:val="none"/>
        </w:rPr>
        <w:t>万元，其中：公务用车购置费</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万元，公务用车运行维护费</w:t>
      </w:r>
      <w:r>
        <w:rPr>
          <w:rFonts w:ascii="仿宋_GB2312" w:eastAsia="仿宋_GB2312"/>
          <w:color w:val="auto"/>
          <w:sz w:val="32"/>
          <w:szCs w:val="32"/>
          <w:highlight w:val="none"/>
        </w:rPr>
        <w:t>12.68</w:t>
      </w:r>
      <w:r>
        <w:rPr>
          <w:rFonts w:hint="eastAsia" w:ascii="仿宋_GB2312" w:eastAsia="仿宋_GB2312"/>
          <w:color w:val="auto"/>
          <w:sz w:val="32"/>
          <w:szCs w:val="32"/>
          <w:highlight w:val="none"/>
        </w:rPr>
        <w:t>万元。公务用车运行维护费开支内容包括车辆加油费、车辆维修费、车辆保险费。公务用车购置数</w:t>
      </w:r>
      <w:r>
        <w:rPr>
          <w:rFonts w:ascii="仿宋_GB2312" w:eastAsia="仿宋_GB2312"/>
          <w:color w:val="auto"/>
          <w:sz w:val="32"/>
          <w:szCs w:val="32"/>
          <w:highlight w:val="none"/>
        </w:rPr>
        <w:t>0</w:t>
      </w:r>
      <w:r>
        <w:rPr>
          <w:rFonts w:hint="eastAsia" w:ascii="仿宋_GB2312" w:eastAsia="仿宋_GB2312"/>
          <w:color w:val="auto"/>
          <w:sz w:val="32"/>
          <w:szCs w:val="32"/>
          <w:highlight w:val="none"/>
        </w:rPr>
        <w:t>辆，公务用车保有量4辆。国有资产占用情况中固定资产车辆</w:t>
      </w:r>
      <w:r>
        <w:rPr>
          <w:rFonts w:ascii="仿宋_GB2312" w:eastAsia="仿宋_GB2312"/>
          <w:color w:val="auto"/>
          <w:sz w:val="32"/>
          <w:szCs w:val="32"/>
          <w:highlight w:val="none"/>
        </w:rPr>
        <w:t>4</w:t>
      </w:r>
      <w:r>
        <w:rPr>
          <w:rFonts w:hint="eastAsia" w:ascii="仿宋_GB2312" w:eastAsia="仿宋_GB2312"/>
          <w:color w:val="auto"/>
          <w:sz w:val="32"/>
          <w:szCs w:val="32"/>
          <w:highlight w:val="none"/>
        </w:rPr>
        <w:t>辆，与公务用车保有量差异原因是：固定资产车辆与公务用车保有量无差异。</w:t>
      </w:r>
    </w:p>
    <w:p w14:paraId="35B738CA">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公务接待费</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万元，开支内容包括我单位无公务接待费。单位全年安排的国内公务接待</w:t>
      </w:r>
      <w:r>
        <w:rPr>
          <w:rFonts w:ascii="仿宋_GB2312" w:eastAsia="仿宋_GB2312"/>
          <w:color w:val="auto"/>
          <w:sz w:val="32"/>
          <w:szCs w:val="32"/>
          <w:highlight w:val="none"/>
        </w:rPr>
        <w:t>0</w:t>
      </w:r>
      <w:r>
        <w:rPr>
          <w:rFonts w:hint="eastAsia" w:ascii="仿宋_GB2312" w:eastAsia="仿宋_GB2312"/>
          <w:color w:val="auto"/>
          <w:sz w:val="32"/>
          <w:szCs w:val="32"/>
          <w:highlight w:val="none"/>
        </w:rPr>
        <w:t>批次，</w:t>
      </w:r>
      <w:r>
        <w:rPr>
          <w:rFonts w:ascii="仿宋_GB2312" w:eastAsia="仿宋_GB2312"/>
          <w:color w:val="auto"/>
          <w:sz w:val="32"/>
          <w:szCs w:val="32"/>
          <w:highlight w:val="none"/>
        </w:rPr>
        <w:t>0</w:t>
      </w:r>
      <w:r>
        <w:rPr>
          <w:rFonts w:hint="eastAsia" w:ascii="仿宋_GB2312" w:eastAsia="仿宋_GB2312"/>
          <w:color w:val="auto"/>
          <w:sz w:val="32"/>
          <w:szCs w:val="32"/>
          <w:highlight w:val="none"/>
        </w:rPr>
        <w:t>人次。</w:t>
      </w:r>
    </w:p>
    <w:p w14:paraId="5BCBC3CF">
      <w:pPr>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与全年预算相比，</w:t>
      </w:r>
      <w:r>
        <w:rPr>
          <w:rFonts w:hint="eastAsia" w:ascii="仿宋_GB2312" w:eastAsia="仿宋_GB2312"/>
          <w:color w:val="auto"/>
          <w:sz w:val="32"/>
          <w:szCs w:val="32"/>
          <w:highlight w:val="none"/>
        </w:rPr>
        <w:t>财政拨款“三公”经费支出全年预算数12.68万元，决算数</w:t>
      </w:r>
      <w:r>
        <w:rPr>
          <w:rFonts w:ascii="仿宋_GB2312" w:eastAsia="仿宋_GB2312"/>
          <w:color w:val="auto"/>
          <w:sz w:val="32"/>
          <w:szCs w:val="32"/>
          <w:highlight w:val="none"/>
        </w:rPr>
        <w:t>12.68</w:t>
      </w:r>
      <w:r>
        <w:rPr>
          <w:rFonts w:hint="eastAsia" w:ascii="仿宋_GB2312" w:eastAsia="仿宋_GB2312"/>
          <w:color w:val="auto"/>
          <w:sz w:val="32"/>
          <w:szCs w:val="32"/>
          <w:highlight w:val="none"/>
        </w:rPr>
        <w:t>万元，预决算差异率0.00%，主要原因是：严格按照预算执行，预决算无差异。</w:t>
      </w:r>
      <w:r>
        <w:rPr>
          <w:rFonts w:hint="eastAsia" w:ascii="仿宋_GB2312" w:hAnsi="宋体" w:eastAsia="仿宋_GB2312" w:cs="宋体"/>
          <w:color w:val="auto"/>
          <w:kern w:val="0"/>
          <w:sz w:val="32"/>
          <w:szCs w:val="32"/>
          <w:highlight w:val="none"/>
        </w:rPr>
        <w:t>其中：因公出国（境）费全年预算数</w:t>
      </w:r>
      <w:r>
        <w:rPr>
          <w:rFonts w:hint="eastAsia" w:ascii="仿宋_GB2312" w:eastAsia="仿宋_GB2312"/>
          <w:color w:val="auto"/>
          <w:sz w:val="32"/>
          <w:szCs w:val="32"/>
          <w:highlight w:val="none"/>
        </w:rPr>
        <w:t>0.00万元，决算数0.00万元，预决算差异率0.00%，主要原因是：我单位无因公出国（境）费；</w:t>
      </w:r>
      <w:r>
        <w:rPr>
          <w:rFonts w:hint="eastAsia" w:ascii="仿宋_GB2312" w:hAnsi="宋体" w:eastAsia="仿宋_GB2312" w:cs="宋体"/>
          <w:color w:val="auto"/>
          <w:kern w:val="0"/>
          <w:sz w:val="32"/>
          <w:szCs w:val="32"/>
          <w:highlight w:val="none"/>
        </w:rPr>
        <w:t>公务用车购置</w:t>
      </w:r>
      <w:r>
        <w:rPr>
          <w:rFonts w:hint="eastAsia" w:ascii="仿宋_GB2312" w:eastAsia="仿宋_GB2312"/>
          <w:color w:val="auto"/>
          <w:sz w:val="32"/>
          <w:szCs w:val="32"/>
          <w:highlight w:val="none"/>
        </w:rPr>
        <w:t>费全年预算数0.00万元，决算数0.00万元，预决算差异率0.00%，主要原因是：我单位无公务用车购置费；</w:t>
      </w:r>
      <w:r>
        <w:rPr>
          <w:rFonts w:hint="eastAsia" w:ascii="仿宋_GB2312" w:hAnsi="宋体" w:eastAsia="仿宋_GB2312" w:cs="宋体"/>
          <w:color w:val="auto"/>
          <w:kern w:val="0"/>
          <w:sz w:val="32"/>
          <w:szCs w:val="32"/>
          <w:highlight w:val="none"/>
        </w:rPr>
        <w:t>公务用车运行费全年</w:t>
      </w:r>
      <w:r>
        <w:rPr>
          <w:rFonts w:hint="eastAsia" w:ascii="仿宋_GB2312" w:eastAsia="仿宋_GB2312"/>
          <w:color w:val="auto"/>
          <w:sz w:val="32"/>
          <w:szCs w:val="32"/>
          <w:highlight w:val="none"/>
        </w:rPr>
        <w:t>预算数12.68万元，决算数12.68万元，预决算差异率0.00%，主要原因是：严格按照预算执行，预决算无差异；</w:t>
      </w:r>
      <w:r>
        <w:rPr>
          <w:rFonts w:hint="eastAsia" w:ascii="仿宋_GB2312" w:hAnsi="宋体" w:eastAsia="仿宋_GB2312" w:cs="宋体"/>
          <w:color w:val="auto"/>
          <w:kern w:val="0"/>
          <w:sz w:val="32"/>
          <w:szCs w:val="32"/>
          <w:highlight w:val="none"/>
        </w:rPr>
        <w:t>公务接待费全年</w:t>
      </w:r>
      <w:r>
        <w:rPr>
          <w:rFonts w:hint="eastAsia" w:ascii="仿宋_GB2312" w:eastAsia="仿宋_GB2312"/>
          <w:color w:val="auto"/>
          <w:sz w:val="32"/>
          <w:szCs w:val="32"/>
          <w:highlight w:val="none"/>
        </w:rPr>
        <w:t>预算数</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万元，决算数</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万元，预决算差异率0.00%，主要原因是：我单位无公务接待费。</w:t>
      </w:r>
    </w:p>
    <w:p w14:paraId="67299DFB">
      <w:pPr>
        <w:ind w:firstLine="640" w:firstLineChars="200"/>
        <w:outlineLvl w:val="1"/>
        <w:rPr>
          <w:rFonts w:ascii="黑体" w:hAnsi="黑体" w:eastAsia="黑体" w:cs="宋体"/>
          <w:bCs/>
          <w:color w:val="auto"/>
          <w:kern w:val="0"/>
          <w:sz w:val="32"/>
          <w:szCs w:val="32"/>
          <w:highlight w:val="none"/>
        </w:rPr>
      </w:pPr>
      <w:bookmarkStart w:id="24" w:name="_Toc7927"/>
      <w:bookmarkStart w:id="25" w:name="_Toc5810"/>
      <w:r>
        <w:rPr>
          <w:rFonts w:hint="eastAsia" w:ascii="黑体" w:hAnsi="黑体" w:eastAsia="黑体" w:cs="宋体"/>
          <w:bCs/>
          <w:color w:val="auto"/>
          <w:kern w:val="0"/>
          <w:sz w:val="32"/>
          <w:szCs w:val="32"/>
          <w:highlight w:val="none"/>
        </w:rPr>
        <w:t>八、政府性基金预算财政拨款收入支出决算情况说明</w:t>
      </w:r>
      <w:bookmarkEnd w:id="24"/>
      <w:bookmarkEnd w:id="25"/>
    </w:p>
    <w:p w14:paraId="1AD5961D">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我单位本年度无政府性基金预算财政拨款收入、支出及结转和结余，政府性基金预算财政拨款收入支出决算表为空表。</w:t>
      </w:r>
    </w:p>
    <w:p w14:paraId="05228B36">
      <w:pPr>
        <w:ind w:firstLine="640" w:firstLineChars="200"/>
        <w:rPr>
          <w:rFonts w:ascii="Arial" w:hAnsi="Arial" w:cs="Arial"/>
          <w:color w:val="auto"/>
          <w:highlight w:val="none"/>
          <w:shd w:val="clear" w:color="auto" w:fill="FFFFFF"/>
        </w:rPr>
      </w:pPr>
      <w:r>
        <w:rPr>
          <w:rFonts w:hint="eastAsia" w:ascii="黑体" w:hAnsi="黑体" w:eastAsia="黑体" w:cs="宋体"/>
          <w:bCs/>
          <w:color w:val="auto"/>
          <w:kern w:val="0"/>
          <w:sz w:val="32"/>
          <w:szCs w:val="32"/>
          <w:highlight w:val="none"/>
        </w:rPr>
        <w:t>九、国有资本经营预算财政拨款收入支出决算情况说明</w:t>
      </w:r>
    </w:p>
    <w:p w14:paraId="76621D99">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我单位本年度无国有资本经营预算财政拨款收入、支出及结转和结余，国有资本经营预算财政拨款收入支出决算表为空表。</w:t>
      </w:r>
    </w:p>
    <w:p w14:paraId="7889D89B">
      <w:pPr>
        <w:ind w:firstLine="640" w:firstLineChars="200"/>
        <w:rPr>
          <w:rFonts w:ascii="仿宋_GB2312" w:eastAsia="仿宋_GB2312"/>
          <w:color w:val="auto"/>
          <w:sz w:val="32"/>
          <w:szCs w:val="32"/>
          <w:highlight w:val="none"/>
        </w:rPr>
      </w:pPr>
      <w:r>
        <w:rPr>
          <w:rFonts w:hint="eastAsia" w:ascii="黑体" w:hAnsi="黑体" w:eastAsia="黑体" w:cs="宋体"/>
          <w:bCs/>
          <w:color w:val="auto"/>
          <w:kern w:val="0"/>
          <w:sz w:val="32"/>
          <w:szCs w:val="32"/>
          <w:highlight w:val="none"/>
        </w:rPr>
        <w:t>十、其他重要事项的情况说明</w:t>
      </w:r>
    </w:p>
    <w:p w14:paraId="071E0832">
      <w:pPr>
        <w:ind w:firstLine="640" w:firstLineChars="200"/>
        <w:outlineLvl w:val="2"/>
        <w:rPr>
          <w:rFonts w:ascii="黑体" w:hAnsi="黑体" w:eastAsia="黑体"/>
          <w:color w:val="auto"/>
          <w:sz w:val="32"/>
          <w:szCs w:val="32"/>
          <w:highlight w:val="none"/>
        </w:rPr>
      </w:pPr>
      <w:r>
        <w:rPr>
          <w:rFonts w:hint="eastAsia" w:ascii="黑体" w:hAnsi="黑体" w:eastAsia="黑体"/>
          <w:color w:val="auto"/>
          <w:sz w:val="32"/>
          <w:szCs w:val="32"/>
          <w:highlight w:val="none"/>
        </w:rPr>
        <w:t>（一）机关运行经费支出情况</w:t>
      </w:r>
    </w:p>
    <w:p w14:paraId="54806FC6">
      <w:pPr>
        <w:ind w:firstLine="640" w:firstLineChars="200"/>
        <w:outlineLvl w:val="2"/>
        <w:rPr>
          <w:rFonts w:ascii="黑体" w:hAnsi="黑体" w:eastAsia="黑体"/>
          <w:color w:val="auto"/>
          <w:sz w:val="32"/>
          <w:szCs w:val="32"/>
          <w:highlight w:val="none"/>
        </w:rPr>
      </w:pPr>
      <w:r>
        <w:rPr>
          <w:rFonts w:hint="eastAsia" w:ascii="仿宋_GB2312" w:eastAsia="仿宋_GB2312"/>
          <w:color w:val="auto"/>
          <w:sz w:val="32"/>
          <w:szCs w:val="32"/>
          <w:highlight w:val="none"/>
        </w:rPr>
        <w:t>2023年度和田地区质量与计量检测所（事业单位）公用经费63.26万元，比上年减少0.84万元，下降1.31%，主要原因是：严格执行中央八项规定，厉行节约，压减经费。</w:t>
      </w:r>
    </w:p>
    <w:p w14:paraId="5248E034">
      <w:pPr>
        <w:ind w:firstLine="800" w:firstLineChars="250"/>
        <w:outlineLvl w:val="2"/>
        <w:rPr>
          <w:rFonts w:ascii="黑体" w:hAnsi="黑体" w:eastAsia="黑体"/>
          <w:color w:val="auto"/>
          <w:sz w:val="32"/>
          <w:szCs w:val="32"/>
          <w:highlight w:val="none"/>
        </w:rPr>
      </w:pPr>
      <w:bookmarkStart w:id="26" w:name="_Toc227"/>
      <w:bookmarkStart w:id="27" w:name="_Toc26704"/>
      <w:r>
        <w:rPr>
          <w:rFonts w:hint="eastAsia" w:ascii="黑体" w:hAnsi="黑体" w:eastAsia="黑体"/>
          <w:color w:val="auto"/>
          <w:sz w:val="32"/>
          <w:szCs w:val="32"/>
          <w:highlight w:val="none"/>
        </w:rPr>
        <w:t>（二）政府采购情况</w:t>
      </w:r>
      <w:bookmarkEnd w:id="26"/>
      <w:bookmarkEnd w:id="27"/>
    </w:p>
    <w:p w14:paraId="7ACFC8DB">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2023年度政府采购支出总额</w:t>
      </w:r>
      <w:r>
        <w:rPr>
          <w:rFonts w:ascii="仿宋_GB2312" w:eastAsia="仿宋_GB2312"/>
          <w:color w:val="auto"/>
          <w:sz w:val="32"/>
          <w:szCs w:val="32"/>
          <w:highlight w:val="none"/>
        </w:rPr>
        <w:t>10.01</w:t>
      </w:r>
      <w:r>
        <w:rPr>
          <w:rFonts w:hint="eastAsia" w:ascii="仿宋_GB2312" w:eastAsia="仿宋_GB2312"/>
          <w:color w:val="auto"/>
          <w:sz w:val="32"/>
          <w:szCs w:val="32"/>
          <w:highlight w:val="none"/>
        </w:rPr>
        <w:t>万元，其中：政府采购货物支出</w:t>
      </w:r>
      <w:r>
        <w:rPr>
          <w:rFonts w:ascii="仿宋_GB2312" w:eastAsia="仿宋_GB2312"/>
          <w:color w:val="auto"/>
          <w:sz w:val="32"/>
          <w:szCs w:val="32"/>
          <w:highlight w:val="none"/>
        </w:rPr>
        <w:t>2.90</w:t>
      </w:r>
      <w:r>
        <w:rPr>
          <w:rFonts w:hint="eastAsia" w:ascii="仿宋_GB2312" w:eastAsia="仿宋_GB2312"/>
          <w:color w:val="auto"/>
          <w:sz w:val="32"/>
          <w:szCs w:val="32"/>
          <w:highlight w:val="none"/>
        </w:rPr>
        <w:t>万元、政府采购工程支出</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万元、政府采购服务支出</w:t>
      </w:r>
      <w:r>
        <w:rPr>
          <w:rFonts w:ascii="仿宋_GB2312" w:eastAsia="仿宋_GB2312"/>
          <w:color w:val="auto"/>
          <w:sz w:val="32"/>
          <w:szCs w:val="32"/>
          <w:highlight w:val="none"/>
        </w:rPr>
        <w:t>7.11</w:t>
      </w:r>
      <w:r>
        <w:rPr>
          <w:rFonts w:hint="eastAsia" w:ascii="仿宋_GB2312" w:eastAsia="仿宋_GB2312"/>
          <w:color w:val="auto"/>
          <w:sz w:val="32"/>
          <w:szCs w:val="32"/>
          <w:highlight w:val="none"/>
        </w:rPr>
        <w:t>万元。</w:t>
      </w:r>
    </w:p>
    <w:p w14:paraId="41923E10">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授予中小企业合同金额</w:t>
      </w:r>
      <w:r>
        <w:rPr>
          <w:rFonts w:ascii="仿宋_GB2312" w:eastAsia="仿宋_GB2312"/>
          <w:color w:val="auto"/>
          <w:sz w:val="32"/>
          <w:szCs w:val="32"/>
          <w:highlight w:val="none"/>
        </w:rPr>
        <w:t>8.09</w:t>
      </w:r>
      <w:r>
        <w:rPr>
          <w:rFonts w:hint="eastAsia" w:ascii="仿宋_GB2312" w:eastAsia="仿宋_GB2312"/>
          <w:color w:val="auto"/>
          <w:sz w:val="32"/>
          <w:szCs w:val="32"/>
          <w:highlight w:val="none"/>
        </w:rPr>
        <w:t>万元，占政府采购支出总额的</w:t>
      </w:r>
      <w:r>
        <w:rPr>
          <w:rFonts w:ascii="仿宋_GB2312" w:eastAsia="仿宋_GB2312"/>
          <w:color w:val="auto"/>
          <w:sz w:val="32"/>
          <w:szCs w:val="32"/>
          <w:highlight w:val="none"/>
        </w:rPr>
        <w:t>80.82</w:t>
      </w:r>
      <w:r>
        <w:rPr>
          <w:rFonts w:hint="eastAsia" w:ascii="仿宋_GB2312" w:eastAsia="仿宋_GB2312"/>
          <w:color w:val="auto"/>
          <w:sz w:val="32"/>
          <w:szCs w:val="32"/>
          <w:highlight w:val="none"/>
        </w:rPr>
        <w:t>%，其中：授予小微企业合同金额</w:t>
      </w:r>
      <w:r>
        <w:rPr>
          <w:rFonts w:ascii="仿宋_GB2312" w:eastAsia="仿宋_GB2312"/>
          <w:color w:val="auto"/>
          <w:sz w:val="32"/>
          <w:szCs w:val="32"/>
          <w:highlight w:val="none"/>
        </w:rPr>
        <w:t>3.58</w:t>
      </w:r>
      <w:r>
        <w:rPr>
          <w:rFonts w:hint="eastAsia" w:ascii="仿宋_GB2312" w:eastAsia="仿宋_GB2312"/>
          <w:color w:val="auto"/>
          <w:sz w:val="32"/>
          <w:szCs w:val="32"/>
          <w:highlight w:val="none"/>
        </w:rPr>
        <w:t>万元，占政府采购支出总额的</w:t>
      </w:r>
      <w:r>
        <w:rPr>
          <w:rFonts w:ascii="仿宋_GB2312" w:eastAsia="仿宋_GB2312"/>
          <w:color w:val="auto"/>
          <w:sz w:val="32"/>
          <w:szCs w:val="32"/>
          <w:highlight w:val="none"/>
        </w:rPr>
        <w:t>35.76</w:t>
      </w:r>
      <w:r>
        <w:rPr>
          <w:rFonts w:hint="eastAsia" w:ascii="仿宋_GB2312" w:eastAsia="仿宋_GB2312"/>
          <w:color w:val="auto"/>
          <w:sz w:val="32"/>
          <w:szCs w:val="32"/>
          <w:highlight w:val="none"/>
        </w:rPr>
        <w:t>%。</w:t>
      </w:r>
    </w:p>
    <w:p w14:paraId="171E7DE0">
      <w:pPr>
        <w:ind w:firstLine="640" w:firstLineChars="200"/>
        <w:outlineLvl w:val="2"/>
        <w:rPr>
          <w:rFonts w:ascii="黑体" w:hAnsi="黑体" w:eastAsia="黑体"/>
          <w:color w:val="auto"/>
          <w:sz w:val="32"/>
          <w:szCs w:val="32"/>
          <w:highlight w:val="none"/>
        </w:rPr>
      </w:pPr>
      <w:bookmarkStart w:id="28" w:name="_Toc4591"/>
      <w:bookmarkStart w:id="29" w:name="_Toc8391"/>
      <w:r>
        <w:rPr>
          <w:rFonts w:hint="eastAsia" w:ascii="黑体" w:hAnsi="黑体" w:eastAsia="黑体"/>
          <w:color w:val="auto"/>
          <w:sz w:val="32"/>
          <w:szCs w:val="32"/>
          <w:highlight w:val="none"/>
        </w:rPr>
        <w:t>（三）国有资产占用情况说明</w:t>
      </w:r>
      <w:bookmarkEnd w:id="28"/>
      <w:bookmarkEnd w:id="29"/>
    </w:p>
    <w:p w14:paraId="1D66565A">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截至2023年12月31日，固定资产原值3,174.82万元，房屋</w:t>
      </w:r>
      <w:r>
        <w:rPr>
          <w:rFonts w:ascii="仿宋_GB2312" w:eastAsia="仿宋_GB2312"/>
          <w:color w:val="auto"/>
          <w:sz w:val="32"/>
          <w:szCs w:val="32"/>
          <w:highlight w:val="none"/>
        </w:rPr>
        <w:t>6,330.46</w:t>
      </w:r>
      <w:r>
        <w:rPr>
          <w:rFonts w:hint="eastAsia" w:ascii="仿宋_GB2312" w:eastAsia="仿宋_GB2312"/>
          <w:color w:val="auto"/>
          <w:sz w:val="32"/>
          <w:szCs w:val="32"/>
          <w:highlight w:val="none"/>
        </w:rPr>
        <w:t>平方米，价值</w:t>
      </w:r>
      <w:r>
        <w:rPr>
          <w:rFonts w:ascii="仿宋_GB2312" w:eastAsia="仿宋_GB2312"/>
          <w:color w:val="auto"/>
          <w:sz w:val="32"/>
          <w:szCs w:val="32"/>
          <w:highlight w:val="none"/>
        </w:rPr>
        <w:t>1,348.34</w:t>
      </w:r>
      <w:r>
        <w:rPr>
          <w:rFonts w:hint="eastAsia" w:ascii="仿宋_GB2312" w:eastAsia="仿宋_GB2312"/>
          <w:color w:val="auto"/>
          <w:sz w:val="32"/>
          <w:szCs w:val="32"/>
          <w:highlight w:val="none"/>
        </w:rPr>
        <w:t>万元。车辆</w:t>
      </w:r>
      <w:r>
        <w:rPr>
          <w:rFonts w:ascii="仿宋_GB2312" w:eastAsia="仿宋_GB2312"/>
          <w:color w:val="auto"/>
          <w:sz w:val="32"/>
          <w:szCs w:val="32"/>
          <w:highlight w:val="none"/>
        </w:rPr>
        <w:t>4</w:t>
      </w:r>
      <w:r>
        <w:rPr>
          <w:rFonts w:hint="eastAsia" w:ascii="仿宋_GB2312" w:eastAsia="仿宋_GB2312"/>
          <w:color w:val="auto"/>
          <w:sz w:val="32"/>
          <w:szCs w:val="32"/>
          <w:highlight w:val="none"/>
        </w:rPr>
        <w:t>辆，价值</w:t>
      </w:r>
      <w:r>
        <w:rPr>
          <w:rFonts w:ascii="仿宋_GB2312" w:eastAsia="仿宋_GB2312"/>
          <w:color w:val="auto"/>
          <w:sz w:val="32"/>
          <w:szCs w:val="32"/>
          <w:highlight w:val="none"/>
        </w:rPr>
        <w:t>118.79</w:t>
      </w:r>
      <w:r>
        <w:rPr>
          <w:rFonts w:hint="eastAsia" w:ascii="仿宋_GB2312" w:eastAsia="仿宋_GB2312"/>
          <w:color w:val="auto"/>
          <w:sz w:val="32"/>
          <w:szCs w:val="32"/>
          <w:highlight w:val="none"/>
        </w:rPr>
        <w:t>万元，其中：副部（省）级及以上领导用车0辆、主要负责人用车0辆、机要通信用车</w:t>
      </w:r>
      <w:r>
        <w:rPr>
          <w:rFonts w:ascii="仿宋_GB2312" w:eastAsia="仿宋_GB2312"/>
          <w:color w:val="auto"/>
          <w:sz w:val="32"/>
          <w:szCs w:val="32"/>
          <w:highlight w:val="none"/>
        </w:rPr>
        <w:t>0</w:t>
      </w:r>
      <w:r>
        <w:rPr>
          <w:rFonts w:hint="eastAsia" w:ascii="仿宋_GB2312" w:eastAsia="仿宋_GB2312"/>
          <w:color w:val="auto"/>
          <w:sz w:val="32"/>
          <w:szCs w:val="32"/>
          <w:highlight w:val="none"/>
        </w:rPr>
        <w:t>辆、应急保障用车</w:t>
      </w:r>
      <w:r>
        <w:rPr>
          <w:rFonts w:ascii="仿宋_GB2312" w:eastAsia="仿宋_GB2312"/>
          <w:color w:val="auto"/>
          <w:sz w:val="32"/>
          <w:szCs w:val="32"/>
          <w:highlight w:val="none"/>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rPr>
        <w:t>执法执勤用车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特种专业技术</w:t>
      </w:r>
      <w:r>
        <w:rPr>
          <w:rFonts w:hint="eastAsia" w:ascii="仿宋_GB2312" w:eastAsia="仿宋_GB2312"/>
          <w:color w:val="auto"/>
          <w:sz w:val="32"/>
          <w:szCs w:val="32"/>
          <w:highlight w:val="none"/>
        </w:rPr>
        <w:t>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rPr>
        <w:t>、离退休干部服务用车</w:t>
      </w:r>
      <w:r>
        <w:rPr>
          <w:rFonts w:ascii="仿宋_GB2312" w:eastAsia="仿宋_GB2312"/>
          <w:color w:val="auto"/>
          <w:sz w:val="32"/>
          <w:szCs w:val="32"/>
          <w:highlight w:val="none"/>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辆，其他用车主要是：一般公务用车；单价100万元（含）以上设备（不含车辆）</w:t>
      </w:r>
      <w:r>
        <w:rPr>
          <w:rFonts w:ascii="仿宋_GB2312" w:eastAsia="仿宋_GB2312"/>
          <w:color w:val="auto"/>
          <w:sz w:val="32"/>
          <w:szCs w:val="32"/>
          <w:highlight w:val="none"/>
        </w:rPr>
        <w:t>2</w:t>
      </w:r>
      <w:r>
        <w:rPr>
          <w:rFonts w:hint="eastAsia" w:ascii="仿宋_GB2312" w:eastAsia="仿宋_GB2312"/>
          <w:color w:val="auto"/>
          <w:sz w:val="32"/>
          <w:szCs w:val="32"/>
          <w:highlight w:val="none"/>
        </w:rPr>
        <w:t>台（套）。</w:t>
      </w:r>
    </w:p>
    <w:p w14:paraId="53549D15">
      <w:pPr>
        <w:ind w:firstLine="640" w:firstLineChars="200"/>
        <w:outlineLvl w:val="1"/>
        <w:rPr>
          <w:rFonts w:ascii="黑体" w:hAnsi="黑体" w:eastAsia="黑体" w:cs="宋体"/>
          <w:bCs/>
          <w:color w:val="auto"/>
          <w:kern w:val="0"/>
          <w:sz w:val="32"/>
          <w:szCs w:val="32"/>
          <w:highlight w:val="none"/>
        </w:rPr>
      </w:pPr>
      <w:bookmarkStart w:id="30" w:name="_Toc435"/>
      <w:bookmarkStart w:id="31" w:name="_Toc11283"/>
      <w:r>
        <w:rPr>
          <w:rFonts w:hint="eastAsia" w:ascii="黑体" w:hAnsi="黑体" w:eastAsia="黑体" w:cs="宋体"/>
          <w:bCs/>
          <w:color w:val="auto"/>
          <w:kern w:val="0"/>
          <w:sz w:val="32"/>
          <w:szCs w:val="32"/>
          <w:highlight w:val="none"/>
        </w:rPr>
        <w:t>十一、预算绩效的情况说明</w:t>
      </w:r>
      <w:bookmarkEnd w:id="30"/>
      <w:bookmarkEnd w:id="31"/>
    </w:p>
    <w:p w14:paraId="6E990C6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根据预算绩效管理要求，我单位</w:t>
      </w:r>
      <w:r>
        <w:rPr>
          <w:rFonts w:ascii="仿宋_GB2312" w:eastAsia="仿宋_GB2312"/>
          <w:color w:val="auto"/>
          <w:sz w:val="32"/>
          <w:szCs w:val="32"/>
          <w:highlight w:val="none"/>
        </w:rPr>
        <w:t>2023</w:t>
      </w:r>
      <w:r>
        <w:rPr>
          <w:rFonts w:hint="eastAsia" w:ascii="仿宋_GB2312" w:eastAsia="仿宋_GB2312"/>
          <w:color w:val="auto"/>
          <w:sz w:val="32"/>
          <w:szCs w:val="32"/>
          <w:highlight w:val="none"/>
        </w:rPr>
        <w:t>年度预算绩效管理整体支出绩效自评表1个，全年预算总额1424.63万元，实际执行总额1343.34万元；预算绩效评价项目</w:t>
      </w:r>
      <w:r>
        <w:rPr>
          <w:rFonts w:ascii="仿宋_GB2312" w:eastAsia="仿宋_GB2312"/>
          <w:color w:val="auto"/>
          <w:sz w:val="32"/>
          <w:szCs w:val="32"/>
          <w:highlight w:val="none"/>
        </w:rPr>
        <w:t>1</w:t>
      </w:r>
      <w:r>
        <w:rPr>
          <w:rFonts w:hint="eastAsia" w:ascii="仿宋_GB2312" w:eastAsia="仿宋_GB2312"/>
          <w:color w:val="auto"/>
          <w:sz w:val="32"/>
          <w:szCs w:val="32"/>
          <w:highlight w:val="none"/>
        </w:rPr>
        <w:t>个，全年预算数120.78万元，全年执行数120.78万元。预算绩效管理取得的成效：</w:t>
      </w:r>
      <w:r>
        <w:rPr>
          <w:rFonts w:ascii="仿宋_GB2312" w:eastAsia="仿宋_GB2312"/>
          <w:color w:val="auto"/>
          <w:sz w:val="32"/>
          <w:szCs w:val="32"/>
          <w:highlight w:val="none"/>
        </w:rPr>
        <w:t>一是资源配置更优化，精准规划资金：通过对各项业务活动进行深入分析和评估，明确了资金需求的重点领域和关键环节。使得有限的资金能够更加精准地</w:t>
      </w:r>
      <w:r>
        <w:rPr>
          <w:rFonts w:hint="eastAsia" w:ascii="仿宋_GB2312" w:eastAsia="仿宋_GB2312"/>
          <w:color w:val="auto"/>
          <w:sz w:val="32"/>
          <w:szCs w:val="32"/>
          <w:highlight w:val="none"/>
          <w:lang w:eastAsia="zh-CN"/>
        </w:rPr>
        <w:t>投入</w:t>
      </w:r>
      <w:r>
        <w:rPr>
          <w:rFonts w:ascii="仿宋_GB2312" w:eastAsia="仿宋_GB2312"/>
          <w:color w:val="auto"/>
          <w:sz w:val="32"/>
          <w:szCs w:val="32"/>
          <w:highlight w:val="none"/>
        </w:rPr>
        <w:t>最需要的地方，提高了资金的使用效益，合理调整预算：根据绩效目标的实现情况，及时对预算进行调整。对于绩效良好的项目，适当增加投入；对于绩效不佳的项目，减少或停止资金支持。从而实现了资源的动态配置，确保每一笔资金都能发挥最大的作用，二是业务效能大提升，激发工作积极性：预算绩效管理将绩效目标与个人和部门的工作任务紧密结合，使员工明确了工作的方向和重点。同时，通过绩效评价和激励机制，激发了员工的工作积极性和创造力，提高了工作效率和质量。促进业务创新：为了实现更好的绩效目标，和田地区质量与计量检测所积极推动业务创新。引入新的检测技术和方法，提高检测的准确性和效率；拓展服务领域，满足市场和客户的多样化需求。这些创新举措不仅提升了自身的业务水平，也为地区经济发展提供了有力的技术支持</w:t>
      </w:r>
      <w:r>
        <w:rPr>
          <w:rFonts w:hint="eastAsia" w:ascii="仿宋_GB2312" w:eastAsia="仿宋_GB2312"/>
          <w:color w:val="auto"/>
          <w:sz w:val="32"/>
          <w:szCs w:val="32"/>
          <w:highlight w:val="none"/>
        </w:rPr>
        <w:t>。发现的问题及原因：</w:t>
      </w:r>
      <w:r>
        <w:rPr>
          <w:rFonts w:ascii="仿宋_GB2312" w:eastAsia="仿宋_GB2312"/>
          <w:color w:val="auto"/>
          <w:sz w:val="32"/>
          <w:szCs w:val="32"/>
          <w:highlight w:val="none"/>
        </w:rPr>
        <w:t>一是原因分析：1.重视程度不足：部分员工对预算绩效管理的重要性认识不够，缺乏积极参与的主动性和责任感。认为预算绩效管理只是财务部门的工作，与自己的业务关系不大。2.制度不完善：预算绩效管理的制度体系还不够健全，缺乏具体的操作规范和流程。在绩效目标设定、绩效评价指标体系构建、绩效评价方法选择等方面存在一定的随意性和不科学性。二是问题表现：1.绩效目标不明确：在设定绩效目标时，存在目标不具体、不量化、不可衡量等问题。导致绩效目标缺乏明确的导向作用，难以对实际工作进行有效的指导和评价。2.绩效评价指标不合理：绩效评价指标体系不够科学、合理，存在指标单一、权重分配不合理、缺乏针对性等问题。无法全面、准确地反映工作的实际绩效水平</w:t>
      </w:r>
      <w:r>
        <w:rPr>
          <w:rFonts w:hint="eastAsia" w:ascii="仿宋_GB2312" w:eastAsia="仿宋_GB2312"/>
          <w:color w:val="auto"/>
          <w:sz w:val="32"/>
          <w:szCs w:val="32"/>
          <w:highlight w:val="none"/>
        </w:rPr>
        <w:t>。下一步改进措施：</w:t>
      </w:r>
      <w:r>
        <w:rPr>
          <w:rFonts w:ascii="仿宋_GB2312" w:eastAsia="仿宋_GB2312"/>
          <w:color w:val="auto"/>
          <w:sz w:val="32"/>
          <w:szCs w:val="32"/>
          <w:highlight w:val="none"/>
        </w:rPr>
        <w:t>提高认识，加强培训：1.开展宣传教育活动，提高全体员工对预算绩效管理的认识和重视程度。让员工充分了解预算绩效管理的重要性、目标和方法，增强员工的责任感和使命感。2.组织专业培训，提高员工的预算绩效管理能力。邀请专家学者进行授课，讲解预算绩效管理的理论知识和实践经验；组织内部培训，分享成功案例和先进经验，提高员工的实际操作能力。</w:t>
      </w:r>
      <w:r>
        <w:rPr>
          <w:rFonts w:hint="eastAsia" w:ascii="仿宋_GB2312" w:eastAsia="仿宋_GB2312"/>
          <w:color w:val="auto"/>
          <w:sz w:val="32"/>
          <w:szCs w:val="32"/>
          <w:highlight w:val="none"/>
        </w:rPr>
        <w:t>具体项目自评情况附绩效自评表及自评报告。</w:t>
      </w:r>
    </w:p>
    <w:p w14:paraId="7691B201">
      <w:pPr>
        <w:rPr>
          <w:rFonts w:ascii="仿宋_GB2312" w:hAnsi="宋体" w:eastAsia="仿宋_GB2312" w:cs="宋体"/>
          <w:color w:val="auto"/>
          <w:kern w:val="0"/>
          <w:sz w:val="24"/>
          <w:szCs w:val="32"/>
          <w:highlight w:val="none"/>
        </w:rPr>
      </w:pPr>
      <w:bookmarkStart w:id="32" w:name="_Toc24143"/>
      <w:bookmarkStart w:id="33" w:name="_Toc3250"/>
      <w:r>
        <w:rPr>
          <w:rFonts w:hint="eastAsia" w:ascii="仿宋_GB2312" w:hAnsi="宋体" w:eastAsia="仿宋_GB2312" w:cs="宋体"/>
          <w:color w:val="auto"/>
          <w:kern w:val="0"/>
          <w:sz w:val="24"/>
          <w:szCs w:val="32"/>
          <w:highlight w:val="none"/>
        </w:rPr>
        <w:br w:type="page"/>
      </w:r>
    </w:p>
    <w:p w14:paraId="54A34E13">
      <w:pPr>
        <w:rPr>
          <w:rFonts w:ascii="黑体" w:hAnsi="黑体" w:eastAsia="黑体"/>
          <w:color w:val="auto"/>
          <w:sz w:val="32"/>
          <w:szCs w:val="32"/>
          <w:highlight w:val="none"/>
        </w:rPr>
      </w:pPr>
    </w:p>
    <w:tbl>
      <w:tblPr>
        <w:tblStyle w:val="11"/>
        <w:tblW w:w="90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30"/>
        <w:gridCol w:w="924"/>
        <w:gridCol w:w="101"/>
        <w:gridCol w:w="931"/>
        <w:gridCol w:w="854"/>
        <w:gridCol w:w="720"/>
        <w:gridCol w:w="270"/>
        <w:gridCol w:w="1252"/>
        <w:gridCol w:w="353"/>
        <w:gridCol w:w="823"/>
        <w:gridCol w:w="1032"/>
        <w:gridCol w:w="873"/>
      </w:tblGrid>
      <w:tr w14:paraId="178B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2" w:type="dxa"/>
            <w:gridSpan w:val="13"/>
            <w:tcBorders>
              <w:top w:val="nil"/>
              <w:left w:val="nil"/>
              <w:bottom w:val="nil"/>
              <w:right w:val="nil"/>
            </w:tcBorders>
          </w:tcPr>
          <w:p w14:paraId="34359A28">
            <w:pPr>
              <w:jc w:val="center"/>
              <w:rPr>
                <w:rFonts w:ascii="宋体" w:hAnsi="宋体" w:cs="宋体"/>
                <w:color w:val="auto"/>
                <w:sz w:val="24"/>
                <w:highlight w:val="none"/>
              </w:rPr>
            </w:pPr>
            <w:r>
              <w:rPr>
                <w:rFonts w:hint="eastAsia" w:ascii="宋体" w:hAnsi="宋体" w:cs="宋体"/>
                <w:color w:val="auto"/>
                <w:sz w:val="24"/>
                <w:highlight w:val="none"/>
              </w:rPr>
              <w:t>部门（单位）整体支出绩效目标自评表</w:t>
            </w:r>
          </w:p>
        </w:tc>
      </w:tr>
      <w:tr w14:paraId="4972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gridSpan w:val="3"/>
            <w:tcBorders>
              <w:top w:val="single" w:color="auto" w:sz="4" w:space="0"/>
            </w:tcBorders>
          </w:tcPr>
          <w:p w14:paraId="74700240">
            <w:pPr>
              <w:rPr>
                <w:rFonts w:ascii="宋体" w:hAnsi="宋体" w:cs="宋体"/>
                <w:color w:val="auto"/>
                <w:sz w:val="16"/>
                <w:szCs w:val="16"/>
                <w:highlight w:val="none"/>
              </w:rPr>
            </w:pPr>
            <w:r>
              <w:rPr>
                <w:rFonts w:hint="eastAsia" w:ascii="宋体" w:hAnsi="宋体" w:cs="宋体"/>
                <w:color w:val="auto"/>
                <w:sz w:val="16"/>
                <w:szCs w:val="16"/>
                <w:highlight w:val="none"/>
              </w:rPr>
              <w:t>年度</w:t>
            </w:r>
          </w:p>
        </w:tc>
        <w:tc>
          <w:tcPr>
            <w:tcW w:w="7209" w:type="dxa"/>
            <w:gridSpan w:val="10"/>
            <w:tcBorders>
              <w:top w:val="single" w:color="auto" w:sz="4" w:space="0"/>
            </w:tcBorders>
          </w:tcPr>
          <w:p w14:paraId="20A9862B">
            <w:pPr>
              <w:rPr>
                <w:rFonts w:ascii="宋体" w:hAnsi="宋体" w:cs="宋体"/>
                <w:color w:val="auto"/>
                <w:sz w:val="16"/>
                <w:szCs w:val="16"/>
                <w:highlight w:val="none"/>
              </w:rPr>
            </w:pPr>
            <w:r>
              <w:rPr>
                <w:rFonts w:hint="eastAsia" w:ascii="宋体" w:hAnsi="宋体" w:cs="宋体"/>
                <w:color w:val="auto"/>
                <w:sz w:val="24"/>
                <w:highlight w:val="none"/>
              </w:rPr>
              <w:t>2023</w:t>
            </w:r>
          </w:p>
        </w:tc>
      </w:tr>
      <w:tr w14:paraId="3F8E1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gridSpan w:val="3"/>
            <w:tcBorders>
              <w:top w:val="single" w:color="auto" w:sz="4" w:space="0"/>
            </w:tcBorders>
          </w:tcPr>
          <w:p w14:paraId="28470860">
            <w:pPr>
              <w:rPr>
                <w:rFonts w:ascii="宋体" w:hAnsi="宋体" w:cs="宋体"/>
                <w:color w:val="auto"/>
                <w:sz w:val="16"/>
                <w:szCs w:val="16"/>
                <w:highlight w:val="none"/>
              </w:rPr>
            </w:pPr>
            <w:r>
              <w:rPr>
                <w:rFonts w:hint="eastAsia" w:ascii="宋体" w:hAnsi="宋体" w:cs="宋体"/>
                <w:color w:val="auto"/>
                <w:sz w:val="16"/>
                <w:szCs w:val="16"/>
                <w:highlight w:val="none"/>
              </w:rPr>
              <w:t>部门（单位）名称</w:t>
            </w:r>
          </w:p>
        </w:tc>
        <w:tc>
          <w:tcPr>
            <w:tcW w:w="7209" w:type="dxa"/>
            <w:gridSpan w:val="10"/>
            <w:tcBorders>
              <w:top w:val="single" w:color="auto" w:sz="4" w:space="0"/>
            </w:tcBorders>
          </w:tcPr>
          <w:p w14:paraId="43F288E5">
            <w:pPr>
              <w:rPr>
                <w:rFonts w:ascii="宋体" w:hAnsi="宋体" w:cs="宋体"/>
                <w:color w:val="auto"/>
                <w:sz w:val="16"/>
                <w:szCs w:val="16"/>
                <w:highlight w:val="none"/>
              </w:rPr>
            </w:pPr>
            <w:r>
              <w:rPr>
                <w:rFonts w:hint="eastAsia" w:ascii="宋体" w:hAnsi="宋体" w:cs="宋体"/>
                <w:color w:val="auto"/>
                <w:sz w:val="16"/>
                <w:szCs w:val="16"/>
                <w:highlight w:val="none"/>
              </w:rPr>
              <w:t>和田地区质量与计量检测所</w:t>
            </w:r>
          </w:p>
        </w:tc>
      </w:tr>
      <w:tr w14:paraId="200B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gridSpan w:val="2"/>
            <w:vMerge w:val="restart"/>
            <w:vAlign w:val="center"/>
          </w:tcPr>
          <w:p w14:paraId="3C9E085E">
            <w:pPr>
              <w:jc w:val="center"/>
              <w:rPr>
                <w:rFonts w:ascii="宋体" w:hAnsi="宋体" w:cs="宋体"/>
                <w:color w:val="auto"/>
                <w:sz w:val="16"/>
                <w:szCs w:val="16"/>
                <w:highlight w:val="none"/>
              </w:rPr>
            </w:pPr>
            <w:r>
              <w:rPr>
                <w:rFonts w:hint="eastAsia" w:ascii="宋体" w:hAnsi="宋体" w:cs="宋体"/>
                <w:color w:val="auto"/>
                <w:sz w:val="16"/>
                <w:szCs w:val="16"/>
                <w:highlight w:val="none"/>
              </w:rPr>
              <w:t>部门资金（万元）</w:t>
            </w:r>
          </w:p>
        </w:tc>
        <w:tc>
          <w:tcPr>
            <w:tcW w:w="1956" w:type="dxa"/>
            <w:gridSpan w:val="3"/>
            <w:vAlign w:val="center"/>
          </w:tcPr>
          <w:p w14:paraId="23385B22">
            <w:pPr>
              <w:jc w:val="center"/>
              <w:rPr>
                <w:rFonts w:ascii="宋体" w:hAnsi="宋体" w:cs="宋体"/>
                <w:color w:val="auto"/>
                <w:sz w:val="16"/>
                <w:szCs w:val="16"/>
                <w:highlight w:val="none"/>
              </w:rPr>
            </w:pPr>
            <w:r>
              <w:rPr>
                <w:rFonts w:hint="eastAsia" w:ascii="宋体" w:hAnsi="宋体" w:cs="宋体"/>
                <w:color w:val="auto"/>
                <w:sz w:val="16"/>
                <w:szCs w:val="16"/>
                <w:highlight w:val="none"/>
              </w:rPr>
              <w:t>资金来源</w:t>
            </w:r>
          </w:p>
        </w:tc>
        <w:tc>
          <w:tcPr>
            <w:tcW w:w="854" w:type="dxa"/>
            <w:vAlign w:val="center"/>
          </w:tcPr>
          <w:p w14:paraId="737AC786">
            <w:pPr>
              <w:widowControl/>
              <w:jc w:val="center"/>
              <w:textAlignment w:val="center"/>
              <w:rPr>
                <w:rFonts w:ascii="宋体" w:hAnsi="宋体" w:cs="宋体"/>
                <w:color w:val="auto"/>
                <w:sz w:val="16"/>
                <w:szCs w:val="16"/>
                <w:highlight w:val="none"/>
              </w:rPr>
            </w:pPr>
            <w:r>
              <w:rPr>
                <w:rFonts w:hint="eastAsia" w:ascii="宋体" w:hAnsi="宋体" w:cs="宋体"/>
                <w:color w:val="auto"/>
                <w:kern w:val="0"/>
                <w:sz w:val="16"/>
                <w:szCs w:val="16"/>
                <w:highlight w:val="none"/>
                <w:lang w:bidi="ar"/>
              </w:rPr>
              <w:t>年初预算数（万元）</w:t>
            </w:r>
          </w:p>
        </w:tc>
        <w:tc>
          <w:tcPr>
            <w:tcW w:w="720" w:type="dxa"/>
            <w:vAlign w:val="center"/>
          </w:tcPr>
          <w:p w14:paraId="4E1D4A97">
            <w:pPr>
              <w:widowControl/>
              <w:jc w:val="center"/>
              <w:textAlignment w:val="center"/>
              <w:rPr>
                <w:rFonts w:ascii="宋体" w:hAnsi="宋体" w:cs="宋体"/>
                <w:color w:val="auto"/>
                <w:kern w:val="0"/>
                <w:sz w:val="16"/>
                <w:szCs w:val="16"/>
                <w:highlight w:val="none"/>
                <w:lang w:bidi="ar"/>
              </w:rPr>
            </w:pPr>
            <w:r>
              <w:rPr>
                <w:rFonts w:hint="eastAsia" w:ascii="宋体" w:hAnsi="宋体" w:cs="宋体"/>
                <w:color w:val="auto"/>
                <w:kern w:val="0"/>
                <w:sz w:val="16"/>
                <w:szCs w:val="16"/>
                <w:highlight w:val="none"/>
                <w:lang w:bidi="ar"/>
              </w:rPr>
              <w:t>预算数（调整后）</w:t>
            </w:r>
          </w:p>
        </w:tc>
        <w:tc>
          <w:tcPr>
            <w:tcW w:w="1522" w:type="dxa"/>
            <w:gridSpan w:val="2"/>
            <w:vAlign w:val="center"/>
          </w:tcPr>
          <w:p w14:paraId="3C460DDB">
            <w:pPr>
              <w:widowControl/>
              <w:jc w:val="center"/>
              <w:textAlignment w:val="center"/>
              <w:rPr>
                <w:rFonts w:ascii="宋体" w:hAnsi="宋体" w:cs="宋体"/>
                <w:color w:val="auto"/>
                <w:sz w:val="16"/>
                <w:szCs w:val="16"/>
                <w:highlight w:val="none"/>
              </w:rPr>
            </w:pPr>
            <w:r>
              <w:rPr>
                <w:rFonts w:hint="eastAsia" w:ascii="宋体" w:hAnsi="宋体" w:cs="宋体"/>
                <w:color w:val="auto"/>
                <w:kern w:val="0"/>
                <w:sz w:val="16"/>
                <w:szCs w:val="16"/>
                <w:highlight w:val="none"/>
                <w:lang w:bidi="ar"/>
              </w:rPr>
              <w:t>执行数</w:t>
            </w:r>
          </w:p>
        </w:tc>
        <w:tc>
          <w:tcPr>
            <w:tcW w:w="1176" w:type="dxa"/>
            <w:gridSpan w:val="2"/>
            <w:vAlign w:val="center"/>
          </w:tcPr>
          <w:p w14:paraId="4B1EC516">
            <w:pPr>
              <w:widowControl/>
              <w:jc w:val="center"/>
              <w:textAlignment w:val="center"/>
              <w:rPr>
                <w:rFonts w:ascii="宋体" w:hAnsi="宋体" w:cs="宋体"/>
                <w:color w:val="auto"/>
                <w:sz w:val="16"/>
                <w:szCs w:val="16"/>
                <w:highlight w:val="none"/>
              </w:rPr>
            </w:pPr>
            <w:r>
              <w:rPr>
                <w:rFonts w:hint="eastAsia" w:ascii="宋体" w:hAnsi="宋体" w:cs="宋体"/>
                <w:color w:val="auto"/>
                <w:sz w:val="16"/>
                <w:szCs w:val="16"/>
                <w:highlight w:val="none"/>
              </w:rPr>
              <w:t>分值权重</w:t>
            </w:r>
          </w:p>
        </w:tc>
        <w:tc>
          <w:tcPr>
            <w:tcW w:w="1032" w:type="dxa"/>
            <w:shd w:val="clear" w:color="auto" w:fill="auto"/>
            <w:vAlign w:val="center"/>
          </w:tcPr>
          <w:p w14:paraId="34706CD4">
            <w:pPr>
              <w:widowControl/>
              <w:jc w:val="center"/>
              <w:textAlignment w:val="center"/>
              <w:rPr>
                <w:rFonts w:ascii="宋体" w:hAnsi="宋体" w:cs="宋体"/>
                <w:color w:val="auto"/>
                <w:sz w:val="16"/>
                <w:szCs w:val="16"/>
                <w:highlight w:val="none"/>
              </w:rPr>
            </w:pPr>
            <w:r>
              <w:rPr>
                <w:rFonts w:hint="eastAsia" w:ascii="宋体" w:hAnsi="宋体" w:cs="宋体"/>
                <w:color w:val="auto"/>
                <w:kern w:val="0"/>
                <w:sz w:val="16"/>
                <w:szCs w:val="16"/>
                <w:highlight w:val="none"/>
                <w:lang w:bidi="ar"/>
              </w:rPr>
              <w:t>执行率(%)</w:t>
            </w:r>
          </w:p>
        </w:tc>
        <w:tc>
          <w:tcPr>
            <w:tcW w:w="873" w:type="dxa"/>
            <w:vAlign w:val="center"/>
          </w:tcPr>
          <w:p w14:paraId="118F9E5C">
            <w:pPr>
              <w:widowControl/>
              <w:jc w:val="center"/>
              <w:textAlignment w:val="center"/>
              <w:rPr>
                <w:rFonts w:ascii="宋体" w:hAnsi="宋体" w:cs="宋体"/>
                <w:color w:val="auto"/>
                <w:kern w:val="0"/>
                <w:sz w:val="16"/>
                <w:szCs w:val="16"/>
                <w:highlight w:val="none"/>
                <w:lang w:bidi="ar"/>
              </w:rPr>
            </w:pPr>
            <w:r>
              <w:rPr>
                <w:rFonts w:hint="eastAsia" w:ascii="宋体" w:hAnsi="宋体" w:cs="宋体"/>
                <w:color w:val="auto"/>
                <w:kern w:val="0"/>
                <w:sz w:val="16"/>
                <w:szCs w:val="16"/>
                <w:highlight w:val="none"/>
                <w:lang w:bidi="ar"/>
              </w:rPr>
              <w:t>得分</w:t>
            </w:r>
          </w:p>
        </w:tc>
      </w:tr>
      <w:tr w14:paraId="3A812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gridSpan w:val="2"/>
            <w:vMerge w:val="continue"/>
          </w:tcPr>
          <w:p w14:paraId="40001429">
            <w:pPr>
              <w:rPr>
                <w:rFonts w:ascii="宋体" w:hAnsi="宋体" w:cs="宋体"/>
                <w:color w:val="auto"/>
                <w:sz w:val="16"/>
                <w:szCs w:val="16"/>
                <w:highlight w:val="none"/>
              </w:rPr>
            </w:pPr>
          </w:p>
        </w:tc>
        <w:tc>
          <w:tcPr>
            <w:tcW w:w="924" w:type="dxa"/>
            <w:vMerge w:val="restart"/>
            <w:vAlign w:val="center"/>
          </w:tcPr>
          <w:p w14:paraId="67118274">
            <w:pPr>
              <w:jc w:val="center"/>
              <w:rPr>
                <w:rFonts w:ascii="宋体" w:hAnsi="宋体" w:cs="宋体"/>
                <w:color w:val="auto"/>
                <w:sz w:val="16"/>
                <w:szCs w:val="16"/>
                <w:highlight w:val="none"/>
              </w:rPr>
            </w:pPr>
            <w:r>
              <w:rPr>
                <w:rFonts w:hint="eastAsia" w:ascii="宋体" w:hAnsi="宋体" w:cs="宋体"/>
                <w:color w:val="auto"/>
                <w:sz w:val="16"/>
                <w:szCs w:val="16"/>
                <w:highlight w:val="none"/>
              </w:rPr>
              <w:t>财政资金（万元）</w:t>
            </w:r>
          </w:p>
        </w:tc>
        <w:tc>
          <w:tcPr>
            <w:tcW w:w="1032" w:type="dxa"/>
            <w:gridSpan w:val="2"/>
            <w:vAlign w:val="center"/>
          </w:tcPr>
          <w:p w14:paraId="7728DC14">
            <w:pPr>
              <w:widowControl/>
              <w:jc w:val="left"/>
              <w:textAlignment w:val="center"/>
              <w:rPr>
                <w:rFonts w:ascii="宋体" w:hAnsi="宋体" w:cs="宋体"/>
                <w:color w:val="auto"/>
                <w:sz w:val="16"/>
                <w:szCs w:val="16"/>
                <w:highlight w:val="none"/>
              </w:rPr>
            </w:pPr>
            <w:r>
              <w:rPr>
                <w:rFonts w:hint="eastAsia" w:ascii="宋体" w:hAnsi="宋体" w:cs="宋体"/>
                <w:color w:val="auto"/>
                <w:kern w:val="0"/>
                <w:sz w:val="16"/>
                <w:szCs w:val="16"/>
                <w:highlight w:val="none"/>
                <w:lang w:bidi="ar"/>
              </w:rPr>
              <w:t>中央安排</w:t>
            </w:r>
          </w:p>
        </w:tc>
        <w:tc>
          <w:tcPr>
            <w:tcW w:w="854" w:type="dxa"/>
          </w:tcPr>
          <w:p w14:paraId="743BFEC1">
            <w:pPr>
              <w:rPr>
                <w:rFonts w:ascii="宋体" w:hAnsi="宋体" w:cs="宋体"/>
                <w:color w:val="auto"/>
                <w:sz w:val="16"/>
                <w:szCs w:val="16"/>
                <w:highlight w:val="none"/>
              </w:rPr>
            </w:pPr>
            <w:r>
              <w:rPr>
                <w:rFonts w:hint="eastAsia" w:ascii="宋体" w:hAnsi="宋体" w:cs="宋体"/>
                <w:color w:val="auto"/>
                <w:sz w:val="16"/>
                <w:szCs w:val="16"/>
                <w:highlight w:val="none"/>
              </w:rPr>
              <w:t>0.00</w:t>
            </w:r>
          </w:p>
        </w:tc>
        <w:tc>
          <w:tcPr>
            <w:tcW w:w="720" w:type="dxa"/>
          </w:tcPr>
          <w:p w14:paraId="16641626">
            <w:pPr>
              <w:rPr>
                <w:rFonts w:ascii="宋体" w:hAnsi="宋体" w:cs="宋体"/>
                <w:color w:val="auto"/>
                <w:sz w:val="16"/>
                <w:szCs w:val="16"/>
                <w:highlight w:val="none"/>
              </w:rPr>
            </w:pPr>
            <w:r>
              <w:rPr>
                <w:rFonts w:hint="eastAsia" w:ascii="宋体" w:hAnsi="宋体" w:cs="宋体"/>
                <w:color w:val="auto"/>
                <w:sz w:val="16"/>
                <w:szCs w:val="16"/>
                <w:highlight w:val="none"/>
              </w:rPr>
              <w:t>0.00</w:t>
            </w:r>
          </w:p>
        </w:tc>
        <w:tc>
          <w:tcPr>
            <w:tcW w:w="1522" w:type="dxa"/>
            <w:gridSpan w:val="2"/>
          </w:tcPr>
          <w:p w14:paraId="394CCE01">
            <w:pPr>
              <w:rPr>
                <w:rFonts w:ascii="宋体" w:hAnsi="宋体" w:cs="宋体"/>
                <w:color w:val="auto"/>
                <w:sz w:val="16"/>
                <w:szCs w:val="16"/>
                <w:highlight w:val="none"/>
              </w:rPr>
            </w:pPr>
            <w:r>
              <w:rPr>
                <w:rFonts w:hint="eastAsia" w:ascii="宋体" w:hAnsi="宋体" w:cs="宋体"/>
                <w:color w:val="auto"/>
                <w:sz w:val="16"/>
                <w:szCs w:val="16"/>
                <w:highlight w:val="none"/>
              </w:rPr>
              <w:t>0.00</w:t>
            </w:r>
          </w:p>
        </w:tc>
        <w:tc>
          <w:tcPr>
            <w:tcW w:w="1176" w:type="dxa"/>
            <w:gridSpan w:val="2"/>
            <w:shd w:val="clear" w:color="auto" w:fill="auto"/>
          </w:tcPr>
          <w:p w14:paraId="1402BBB6">
            <w:pPr>
              <w:rPr>
                <w:rFonts w:ascii="宋体" w:hAnsi="宋体" w:cs="宋体"/>
                <w:color w:val="auto"/>
                <w:sz w:val="16"/>
                <w:szCs w:val="16"/>
                <w:highlight w:val="none"/>
              </w:rPr>
            </w:pPr>
          </w:p>
        </w:tc>
        <w:tc>
          <w:tcPr>
            <w:tcW w:w="1032" w:type="dxa"/>
            <w:shd w:val="clear" w:color="auto" w:fill="auto"/>
          </w:tcPr>
          <w:p w14:paraId="6F874C2D">
            <w:pPr>
              <w:rPr>
                <w:rFonts w:ascii="宋体" w:hAnsi="宋体" w:cs="宋体"/>
                <w:color w:val="auto"/>
                <w:sz w:val="16"/>
                <w:szCs w:val="16"/>
                <w:highlight w:val="none"/>
              </w:rPr>
            </w:pPr>
          </w:p>
        </w:tc>
        <w:tc>
          <w:tcPr>
            <w:tcW w:w="873" w:type="dxa"/>
            <w:shd w:val="clear" w:color="auto" w:fill="auto"/>
          </w:tcPr>
          <w:p w14:paraId="35F233EE">
            <w:pPr>
              <w:rPr>
                <w:rFonts w:ascii="宋体" w:hAnsi="宋体" w:cs="宋体"/>
                <w:color w:val="auto"/>
                <w:sz w:val="16"/>
                <w:szCs w:val="16"/>
                <w:highlight w:val="none"/>
              </w:rPr>
            </w:pPr>
          </w:p>
        </w:tc>
      </w:tr>
      <w:tr w14:paraId="3DCF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gridSpan w:val="2"/>
            <w:vMerge w:val="continue"/>
          </w:tcPr>
          <w:p w14:paraId="4EA7BA45">
            <w:pPr>
              <w:rPr>
                <w:rFonts w:ascii="宋体" w:hAnsi="宋体" w:cs="宋体"/>
                <w:color w:val="auto"/>
                <w:sz w:val="16"/>
                <w:szCs w:val="16"/>
                <w:highlight w:val="none"/>
              </w:rPr>
            </w:pPr>
          </w:p>
        </w:tc>
        <w:tc>
          <w:tcPr>
            <w:tcW w:w="924" w:type="dxa"/>
            <w:vMerge w:val="continue"/>
          </w:tcPr>
          <w:p w14:paraId="0E1B6410">
            <w:pPr>
              <w:rPr>
                <w:rFonts w:ascii="宋体" w:hAnsi="宋体" w:cs="宋体"/>
                <w:color w:val="auto"/>
                <w:sz w:val="16"/>
                <w:szCs w:val="16"/>
                <w:highlight w:val="none"/>
              </w:rPr>
            </w:pPr>
          </w:p>
        </w:tc>
        <w:tc>
          <w:tcPr>
            <w:tcW w:w="1032" w:type="dxa"/>
            <w:gridSpan w:val="2"/>
            <w:vAlign w:val="center"/>
          </w:tcPr>
          <w:p w14:paraId="47A12D2A">
            <w:pPr>
              <w:widowControl/>
              <w:jc w:val="left"/>
              <w:textAlignment w:val="center"/>
              <w:rPr>
                <w:rFonts w:ascii="宋体" w:hAnsi="宋体" w:cs="宋体"/>
                <w:color w:val="auto"/>
                <w:sz w:val="16"/>
                <w:szCs w:val="16"/>
                <w:highlight w:val="none"/>
              </w:rPr>
            </w:pPr>
            <w:r>
              <w:rPr>
                <w:rFonts w:hint="eastAsia" w:ascii="宋体" w:hAnsi="宋体" w:cs="宋体"/>
                <w:color w:val="auto"/>
                <w:kern w:val="0"/>
                <w:sz w:val="16"/>
                <w:szCs w:val="16"/>
                <w:highlight w:val="none"/>
                <w:lang w:bidi="ar"/>
              </w:rPr>
              <w:t>自治区安排</w:t>
            </w:r>
          </w:p>
        </w:tc>
        <w:tc>
          <w:tcPr>
            <w:tcW w:w="854" w:type="dxa"/>
          </w:tcPr>
          <w:p w14:paraId="7936EAAA">
            <w:pPr>
              <w:rPr>
                <w:rFonts w:ascii="宋体" w:hAnsi="宋体" w:cs="宋体"/>
                <w:color w:val="auto"/>
                <w:sz w:val="16"/>
                <w:szCs w:val="16"/>
                <w:highlight w:val="none"/>
              </w:rPr>
            </w:pPr>
            <w:r>
              <w:rPr>
                <w:rFonts w:hint="eastAsia" w:ascii="宋体" w:hAnsi="宋体" w:cs="宋体"/>
                <w:color w:val="auto"/>
                <w:sz w:val="16"/>
                <w:szCs w:val="16"/>
                <w:highlight w:val="none"/>
              </w:rPr>
              <w:t>0.00</w:t>
            </w:r>
          </w:p>
        </w:tc>
        <w:tc>
          <w:tcPr>
            <w:tcW w:w="720" w:type="dxa"/>
          </w:tcPr>
          <w:p w14:paraId="65AD608F">
            <w:pPr>
              <w:rPr>
                <w:rFonts w:ascii="宋体" w:hAnsi="宋体" w:cs="宋体"/>
                <w:color w:val="auto"/>
                <w:sz w:val="16"/>
                <w:szCs w:val="16"/>
                <w:highlight w:val="none"/>
              </w:rPr>
            </w:pPr>
            <w:r>
              <w:rPr>
                <w:rFonts w:hint="eastAsia" w:ascii="宋体" w:hAnsi="宋体" w:cs="宋体"/>
                <w:color w:val="auto"/>
                <w:sz w:val="16"/>
                <w:szCs w:val="16"/>
                <w:highlight w:val="none"/>
              </w:rPr>
              <w:t>0.00</w:t>
            </w:r>
          </w:p>
        </w:tc>
        <w:tc>
          <w:tcPr>
            <w:tcW w:w="1522" w:type="dxa"/>
            <w:gridSpan w:val="2"/>
          </w:tcPr>
          <w:p w14:paraId="075A520E">
            <w:pPr>
              <w:rPr>
                <w:rFonts w:ascii="宋体" w:hAnsi="宋体" w:cs="宋体"/>
                <w:color w:val="auto"/>
                <w:sz w:val="16"/>
                <w:szCs w:val="16"/>
                <w:highlight w:val="none"/>
              </w:rPr>
            </w:pPr>
            <w:r>
              <w:rPr>
                <w:rFonts w:hint="eastAsia" w:ascii="宋体" w:hAnsi="宋体" w:cs="宋体"/>
                <w:color w:val="auto"/>
                <w:sz w:val="16"/>
                <w:szCs w:val="16"/>
                <w:highlight w:val="none"/>
              </w:rPr>
              <w:t>0.00</w:t>
            </w:r>
          </w:p>
        </w:tc>
        <w:tc>
          <w:tcPr>
            <w:tcW w:w="1176" w:type="dxa"/>
            <w:gridSpan w:val="2"/>
            <w:shd w:val="clear" w:color="auto" w:fill="auto"/>
          </w:tcPr>
          <w:p w14:paraId="1742D6FA">
            <w:pPr>
              <w:rPr>
                <w:rFonts w:ascii="宋体" w:hAnsi="宋体" w:cs="宋体"/>
                <w:color w:val="auto"/>
                <w:sz w:val="16"/>
                <w:szCs w:val="16"/>
                <w:highlight w:val="none"/>
              </w:rPr>
            </w:pPr>
          </w:p>
        </w:tc>
        <w:tc>
          <w:tcPr>
            <w:tcW w:w="1032" w:type="dxa"/>
            <w:shd w:val="clear" w:color="auto" w:fill="auto"/>
          </w:tcPr>
          <w:p w14:paraId="4DADAF86">
            <w:pPr>
              <w:rPr>
                <w:rFonts w:ascii="宋体" w:hAnsi="宋体" w:cs="宋体"/>
                <w:color w:val="auto"/>
                <w:sz w:val="16"/>
                <w:szCs w:val="16"/>
                <w:highlight w:val="none"/>
              </w:rPr>
            </w:pPr>
          </w:p>
        </w:tc>
        <w:tc>
          <w:tcPr>
            <w:tcW w:w="873" w:type="dxa"/>
            <w:shd w:val="clear" w:color="auto" w:fill="auto"/>
          </w:tcPr>
          <w:p w14:paraId="43032DF6">
            <w:pPr>
              <w:rPr>
                <w:rFonts w:ascii="宋体" w:hAnsi="宋体" w:cs="宋体"/>
                <w:color w:val="auto"/>
                <w:sz w:val="16"/>
                <w:szCs w:val="16"/>
                <w:highlight w:val="none"/>
              </w:rPr>
            </w:pPr>
          </w:p>
        </w:tc>
      </w:tr>
      <w:tr w14:paraId="7EF8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gridSpan w:val="2"/>
            <w:vMerge w:val="continue"/>
          </w:tcPr>
          <w:p w14:paraId="3B945B3A">
            <w:pPr>
              <w:rPr>
                <w:rFonts w:ascii="宋体" w:hAnsi="宋体" w:cs="宋体"/>
                <w:color w:val="auto"/>
                <w:sz w:val="16"/>
                <w:szCs w:val="16"/>
                <w:highlight w:val="none"/>
              </w:rPr>
            </w:pPr>
          </w:p>
        </w:tc>
        <w:tc>
          <w:tcPr>
            <w:tcW w:w="924" w:type="dxa"/>
            <w:vMerge w:val="continue"/>
          </w:tcPr>
          <w:p w14:paraId="45F3FD72">
            <w:pPr>
              <w:rPr>
                <w:rFonts w:ascii="宋体" w:hAnsi="宋体" w:cs="宋体"/>
                <w:color w:val="auto"/>
                <w:sz w:val="16"/>
                <w:szCs w:val="16"/>
                <w:highlight w:val="none"/>
              </w:rPr>
            </w:pPr>
          </w:p>
        </w:tc>
        <w:tc>
          <w:tcPr>
            <w:tcW w:w="1032" w:type="dxa"/>
            <w:gridSpan w:val="2"/>
            <w:vAlign w:val="center"/>
          </w:tcPr>
          <w:p w14:paraId="25E5ED4B">
            <w:pPr>
              <w:widowControl/>
              <w:jc w:val="left"/>
              <w:textAlignment w:val="center"/>
              <w:rPr>
                <w:rFonts w:ascii="宋体" w:hAnsi="宋体" w:cs="宋体"/>
                <w:color w:val="auto"/>
                <w:sz w:val="16"/>
                <w:szCs w:val="16"/>
                <w:highlight w:val="none"/>
              </w:rPr>
            </w:pPr>
            <w:r>
              <w:rPr>
                <w:rFonts w:hint="eastAsia" w:ascii="宋体" w:hAnsi="宋体" w:cs="宋体"/>
                <w:color w:val="auto"/>
                <w:kern w:val="0"/>
                <w:sz w:val="16"/>
                <w:szCs w:val="16"/>
                <w:highlight w:val="none"/>
                <w:lang w:bidi="ar"/>
              </w:rPr>
              <w:t>地（州、市）安排：</w:t>
            </w:r>
          </w:p>
        </w:tc>
        <w:tc>
          <w:tcPr>
            <w:tcW w:w="854" w:type="dxa"/>
          </w:tcPr>
          <w:p w14:paraId="6124517E">
            <w:pPr>
              <w:rPr>
                <w:rFonts w:ascii="宋体" w:hAnsi="宋体" w:cs="宋体"/>
                <w:color w:val="auto"/>
                <w:sz w:val="16"/>
                <w:szCs w:val="16"/>
                <w:highlight w:val="none"/>
              </w:rPr>
            </w:pPr>
            <w:r>
              <w:rPr>
                <w:rFonts w:hint="eastAsia" w:ascii="宋体" w:hAnsi="宋体" w:cs="宋体"/>
                <w:color w:val="auto"/>
                <w:sz w:val="16"/>
                <w:szCs w:val="16"/>
                <w:highlight w:val="none"/>
              </w:rPr>
              <w:t>1109.66</w:t>
            </w:r>
          </w:p>
        </w:tc>
        <w:tc>
          <w:tcPr>
            <w:tcW w:w="720" w:type="dxa"/>
          </w:tcPr>
          <w:p w14:paraId="3FE358E6">
            <w:pPr>
              <w:rPr>
                <w:rFonts w:ascii="宋体" w:hAnsi="宋体" w:cs="宋体"/>
                <w:color w:val="auto"/>
                <w:sz w:val="16"/>
                <w:szCs w:val="16"/>
                <w:highlight w:val="none"/>
              </w:rPr>
            </w:pPr>
            <w:r>
              <w:rPr>
                <w:rFonts w:hint="eastAsia" w:ascii="宋体" w:hAnsi="宋体" w:cs="宋体"/>
                <w:color w:val="auto"/>
                <w:sz w:val="16"/>
                <w:szCs w:val="16"/>
                <w:highlight w:val="none"/>
              </w:rPr>
              <w:t>1424.63</w:t>
            </w:r>
          </w:p>
        </w:tc>
        <w:tc>
          <w:tcPr>
            <w:tcW w:w="1522" w:type="dxa"/>
            <w:gridSpan w:val="2"/>
          </w:tcPr>
          <w:p w14:paraId="2EA8D888">
            <w:pPr>
              <w:rPr>
                <w:rFonts w:ascii="宋体" w:hAnsi="宋体" w:cs="宋体"/>
                <w:color w:val="auto"/>
                <w:sz w:val="16"/>
                <w:szCs w:val="16"/>
                <w:highlight w:val="none"/>
              </w:rPr>
            </w:pPr>
            <w:r>
              <w:rPr>
                <w:rFonts w:hint="eastAsia" w:ascii="宋体" w:hAnsi="宋体" w:cs="宋体"/>
                <w:color w:val="auto"/>
                <w:sz w:val="16"/>
                <w:szCs w:val="16"/>
                <w:highlight w:val="none"/>
              </w:rPr>
              <w:t>1343.34</w:t>
            </w:r>
          </w:p>
        </w:tc>
        <w:tc>
          <w:tcPr>
            <w:tcW w:w="1176" w:type="dxa"/>
            <w:gridSpan w:val="2"/>
            <w:shd w:val="clear" w:color="auto" w:fill="auto"/>
          </w:tcPr>
          <w:p w14:paraId="02E5F341">
            <w:pPr>
              <w:rPr>
                <w:rFonts w:ascii="宋体" w:hAnsi="宋体" w:cs="宋体"/>
                <w:color w:val="auto"/>
                <w:sz w:val="16"/>
                <w:szCs w:val="16"/>
                <w:highlight w:val="none"/>
              </w:rPr>
            </w:pPr>
          </w:p>
        </w:tc>
        <w:tc>
          <w:tcPr>
            <w:tcW w:w="1032" w:type="dxa"/>
            <w:shd w:val="clear" w:color="auto" w:fill="auto"/>
          </w:tcPr>
          <w:p w14:paraId="63DF3D72">
            <w:pPr>
              <w:rPr>
                <w:rFonts w:ascii="宋体" w:hAnsi="宋体" w:cs="宋体"/>
                <w:color w:val="auto"/>
                <w:sz w:val="16"/>
                <w:szCs w:val="16"/>
                <w:highlight w:val="none"/>
              </w:rPr>
            </w:pPr>
          </w:p>
        </w:tc>
        <w:tc>
          <w:tcPr>
            <w:tcW w:w="873" w:type="dxa"/>
            <w:shd w:val="clear" w:color="auto" w:fill="auto"/>
          </w:tcPr>
          <w:p w14:paraId="3AF46A99">
            <w:pPr>
              <w:rPr>
                <w:rFonts w:ascii="宋体" w:hAnsi="宋体" w:cs="宋体"/>
                <w:color w:val="auto"/>
                <w:sz w:val="16"/>
                <w:szCs w:val="16"/>
                <w:highlight w:val="none"/>
              </w:rPr>
            </w:pPr>
          </w:p>
        </w:tc>
      </w:tr>
      <w:tr w14:paraId="749D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gridSpan w:val="2"/>
            <w:vMerge w:val="continue"/>
          </w:tcPr>
          <w:p w14:paraId="4ADA1032">
            <w:pPr>
              <w:rPr>
                <w:rFonts w:ascii="宋体" w:hAnsi="宋体" w:cs="宋体"/>
                <w:color w:val="auto"/>
                <w:sz w:val="16"/>
                <w:szCs w:val="16"/>
                <w:highlight w:val="none"/>
              </w:rPr>
            </w:pPr>
          </w:p>
        </w:tc>
        <w:tc>
          <w:tcPr>
            <w:tcW w:w="924" w:type="dxa"/>
            <w:vMerge w:val="continue"/>
          </w:tcPr>
          <w:p w14:paraId="51F2E134">
            <w:pPr>
              <w:rPr>
                <w:rFonts w:ascii="宋体" w:hAnsi="宋体" w:cs="宋体"/>
                <w:color w:val="auto"/>
                <w:sz w:val="16"/>
                <w:szCs w:val="16"/>
                <w:highlight w:val="none"/>
              </w:rPr>
            </w:pPr>
          </w:p>
        </w:tc>
        <w:tc>
          <w:tcPr>
            <w:tcW w:w="1032" w:type="dxa"/>
            <w:gridSpan w:val="2"/>
            <w:vAlign w:val="center"/>
          </w:tcPr>
          <w:p w14:paraId="61A9D80D">
            <w:pPr>
              <w:widowControl/>
              <w:jc w:val="left"/>
              <w:textAlignment w:val="center"/>
              <w:rPr>
                <w:rFonts w:ascii="宋体" w:hAnsi="宋体" w:cs="宋体"/>
                <w:color w:val="auto"/>
                <w:sz w:val="16"/>
                <w:szCs w:val="16"/>
                <w:highlight w:val="none"/>
              </w:rPr>
            </w:pPr>
            <w:r>
              <w:rPr>
                <w:rFonts w:hint="eastAsia" w:ascii="宋体" w:hAnsi="宋体" w:cs="宋体"/>
                <w:color w:val="auto"/>
                <w:kern w:val="0"/>
                <w:sz w:val="16"/>
                <w:szCs w:val="16"/>
                <w:highlight w:val="none"/>
                <w:lang w:bidi="ar"/>
              </w:rPr>
              <w:t>县（市、区）安排：</w:t>
            </w:r>
          </w:p>
        </w:tc>
        <w:tc>
          <w:tcPr>
            <w:tcW w:w="854" w:type="dxa"/>
          </w:tcPr>
          <w:p w14:paraId="24CE0E2C">
            <w:pPr>
              <w:rPr>
                <w:rFonts w:ascii="宋体" w:hAnsi="宋体" w:cs="宋体"/>
                <w:color w:val="auto"/>
                <w:sz w:val="16"/>
                <w:szCs w:val="16"/>
                <w:highlight w:val="none"/>
              </w:rPr>
            </w:pPr>
            <w:r>
              <w:rPr>
                <w:rFonts w:hint="eastAsia" w:ascii="宋体" w:hAnsi="宋体" w:cs="宋体"/>
                <w:color w:val="auto"/>
                <w:sz w:val="16"/>
                <w:szCs w:val="16"/>
                <w:highlight w:val="none"/>
              </w:rPr>
              <w:t>0.00</w:t>
            </w:r>
          </w:p>
        </w:tc>
        <w:tc>
          <w:tcPr>
            <w:tcW w:w="720" w:type="dxa"/>
          </w:tcPr>
          <w:p w14:paraId="3CCC2053">
            <w:pPr>
              <w:rPr>
                <w:rFonts w:ascii="宋体" w:hAnsi="宋体" w:cs="宋体"/>
                <w:color w:val="auto"/>
                <w:sz w:val="16"/>
                <w:szCs w:val="16"/>
                <w:highlight w:val="none"/>
              </w:rPr>
            </w:pPr>
            <w:r>
              <w:rPr>
                <w:rFonts w:hint="eastAsia" w:ascii="宋体" w:hAnsi="宋体" w:cs="宋体"/>
                <w:color w:val="auto"/>
                <w:sz w:val="16"/>
                <w:szCs w:val="16"/>
                <w:highlight w:val="none"/>
              </w:rPr>
              <w:t>0.00</w:t>
            </w:r>
          </w:p>
        </w:tc>
        <w:tc>
          <w:tcPr>
            <w:tcW w:w="1522" w:type="dxa"/>
            <w:gridSpan w:val="2"/>
          </w:tcPr>
          <w:p w14:paraId="4AA8C3A0">
            <w:pPr>
              <w:rPr>
                <w:rFonts w:ascii="宋体" w:hAnsi="宋体" w:cs="宋体"/>
                <w:color w:val="auto"/>
                <w:sz w:val="16"/>
                <w:szCs w:val="16"/>
                <w:highlight w:val="none"/>
              </w:rPr>
            </w:pPr>
            <w:r>
              <w:rPr>
                <w:rFonts w:hint="eastAsia" w:ascii="宋体" w:hAnsi="宋体" w:cs="宋体"/>
                <w:color w:val="auto"/>
                <w:sz w:val="16"/>
                <w:szCs w:val="16"/>
                <w:highlight w:val="none"/>
              </w:rPr>
              <w:t>0.00</w:t>
            </w:r>
          </w:p>
        </w:tc>
        <w:tc>
          <w:tcPr>
            <w:tcW w:w="1176" w:type="dxa"/>
            <w:gridSpan w:val="2"/>
            <w:shd w:val="clear" w:color="auto" w:fill="auto"/>
          </w:tcPr>
          <w:p w14:paraId="06BFDE66">
            <w:pPr>
              <w:rPr>
                <w:rFonts w:ascii="宋体" w:hAnsi="宋体" w:cs="宋体"/>
                <w:color w:val="auto"/>
                <w:sz w:val="16"/>
                <w:szCs w:val="16"/>
                <w:highlight w:val="none"/>
              </w:rPr>
            </w:pPr>
          </w:p>
        </w:tc>
        <w:tc>
          <w:tcPr>
            <w:tcW w:w="1032" w:type="dxa"/>
            <w:shd w:val="clear" w:color="auto" w:fill="auto"/>
          </w:tcPr>
          <w:p w14:paraId="6640D73C">
            <w:pPr>
              <w:rPr>
                <w:rFonts w:ascii="宋体" w:hAnsi="宋体" w:cs="宋体"/>
                <w:color w:val="auto"/>
                <w:sz w:val="16"/>
                <w:szCs w:val="16"/>
                <w:highlight w:val="none"/>
              </w:rPr>
            </w:pPr>
          </w:p>
        </w:tc>
        <w:tc>
          <w:tcPr>
            <w:tcW w:w="873" w:type="dxa"/>
            <w:shd w:val="clear" w:color="auto" w:fill="auto"/>
          </w:tcPr>
          <w:p w14:paraId="48AF6688">
            <w:pPr>
              <w:rPr>
                <w:rFonts w:ascii="宋体" w:hAnsi="宋体" w:cs="宋体"/>
                <w:color w:val="auto"/>
                <w:sz w:val="16"/>
                <w:szCs w:val="16"/>
                <w:highlight w:val="none"/>
              </w:rPr>
            </w:pPr>
          </w:p>
        </w:tc>
      </w:tr>
      <w:tr w14:paraId="1B8A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gridSpan w:val="2"/>
            <w:vMerge w:val="continue"/>
          </w:tcPr>
          <w:p w14:paraId="362583CE">
            <w:pPr>
              <w:rPr>
                <w:rFonts w:ascii="宋体" w:hAnsi="宋体" w:cs="宋体"/>
                <w:color w:val="auto"/>
                <w:sz w:val="16"/>
                <w:szCs w:val="16"/>
                <w:highlight w:val="none"/>
              </w:rPr>
            </w:pPr>
          </w:p>
        </w:tc>
        <w:tc>
          <w:tcPr>
            <w:tcW w:w="924" w:type="dxa"/>
            <w:vMerge w:val="continue"/>
          </w:tcPr>
          <w:p w14:paraId="302F7440">
            <w:pPr>
              <w:rPr>
                <w:rFonts w:ascii="宋体" w:hAnsi="宋体" w:cs="宋体"/>
                <w:color w:val="auto"/>
                <w:sz w:val="16"/>
                <w:szCs w:val="16"/>
                <w:highlight w:val="none"/>
              </w:rPr>
            </w:pPr>
          </w:p>
        </w:tc>
        <w:tc>
          <w:tcPr>
            <w:tcW w:w="1032" w:type="dxa"/>
            <w:gridSpan w:val="2"/>
            <w:vAlign w:val="center"/>
          </w:tcPr>
          <w:p w14:paraId="19155191">
            <w:pPr>
              <w:widowControl/>
              <w:jc w:val="left"/>
              <w:textAlignment w:val="center"/>
              <w:rPr>
                <w:rFonts w:ascii="宋体" w:hAnsi="宋体" w:cs="宋体"/>
                <w:color w:val="auto"/>
                <w:sz w:val="16"/>
                <w:szCs w:val="16"/>
                <w:highlight w:val="none"/>
              </w:rPr>
            </w:pPr>
            <w:r>
              <w:rPr>
                <w:rFonts w:hint="eastAsia" w:ascii="宋体" w:hAnsi="宋体" w:cs="宋体"/>
                <w:color w:val="auto"/>
                <w:kern w:val="0"/>
                <w:sz w:val="16"/>
                <w:szCs w:val="16"/>
                <w:highlight w:val="none"/>
                <w:lang w:bidi="ar"/>
              </w:rPr>
              <w:t>其他</w:t>
            </w:r>
          </w:p>
        </w:tc>
        <w:tc>
          <w:tcPr>
            <w:tcW w:w="854" w:type="dxa"/>
          </w:tcPr>
          <w:p w14:paraId="022CD5DE">
            <w:pPr>
              <w:rPr>
                <w:rFonts w:ascii="宋体" w:hAnsi="宋体" w:cs="宋体"/>
                <w:color w:val="auto"/>
                <w:sz w:val="16"/>
                <w:szCs w:val="16"/>
                <w:highlight w:val="none"/>
              </w:rPr>
            </w:pPr>
            <w:r>
              <w:rPr>
                <w:rFonts w:hint="eastAsia" w:ascii="宋体" w:hAnsi="宋体" w:cs="宋体"/>
                <w:color w:val="auto"/>
                <w:sz w:val="16"/>
                <w:szCs w:val="16"/>
                <w:highlight w:val="none"/>
              </w:rPr>
              <w:t>0.00</w:t>
            </w:r>
          </w:p>
        </w:tc>
        <w:tc>
          <w:tcPr>
            <w:tcW w:w="720" w:type="dxa"/>
          </w:tcPr>
          <w:p w14:paraId="22117A77">
            <w:pPr>
              <w:rPr>
                <w:rFonts w:ascii="宋体" w:hAnsi="宋体" w:cs="宋体"/>
                <w:color w:val="auto"/>
                <w:sz w:val="16"/>
                <w:szCs w:val="16"/>
                <w:highlight w:val="none"/>
              </w:rPr>
            </w:pPr>
            <w:r>
              <w:rPr>
                <w:rFonts w:hint="eastAsia" w:ascii="宋体" w:hAnsi="宋体" w:cs="宋体"/>
                <w:color w:val="auto"/>
                <w:sz w:val="16"/>
                <w:szCs w:val="16"/>
                <w:highlight w:val="none"/>
              </w:rPr>
              <w:t>0.00</w:t>
            </w:r>
          </w:p>
        </w:tc>
        <w:tc>
          <w:tcPr>
            <w:tcW w:w="1522" w:type="dxa"/>
            <w:gridSpan w:val="2"/>
          </w:tcPr>
          <w:p w14:paraId="530834D5">
            <w:pPr>
              <w:rPr>
                <w:rFonts w:ascii="宋体" w:hAnsi="宋体" w:cs="宋体"/>
                <w:color w:val="auto"/>
                <w:sz w:val="16"/>
                <w:szCs w:val="16"/>
                <w:highlight w:val="none"/>
              </w:rPr>
            </w:pPr>
            <w:r>
              <w:rPr>
                <w:rFonts w:hint="eastAsia" w:ascii="宋体" w:hAnsi="宋体" w:cs="宋体"/>
                <w:color w:val="auto"/>
                <w:sz w:val="16"/>
                <w:szCs w:val="16"/>
                <w:highlight w:val="none"/>
              </w:rPr>
              <w:t>0.00</w:t>
            </w:r>
          </w:p>
        </w:tc>
        <w:tc>
          <w:tcPr>
            <w:tcW w:w="1176" w:type="dxa"/>
            <w:gridSpan w:val="2"/>
            <w:shd w:val="clear" w:color="auto" w:fill="auto"/>
          </w:tcPr>
          <w:p w14:paraId="6D7A3BE1">
            <w:pPr>
              <w:rPr>
                <w:rFonts w:ascii="宋体" w:hAnsi="宋体" w:cs="宋体"/>
                <w:color w:val="auto"/>
                <w:sz w:val="16"/>
                <w:szCs w:val="16"/>
                <w:highlight w:val="none"/>
              </w:rPr>
            </w:pPr>
          </w:p>
        </w:tc>
        <w:tc>
          <w:tcPr>
            <w:tcW w:w="1032" w:type="dxa"/>
            <w:shd w:val="clear" w:color="auto" w:fill="auto"/>
          </w:tcPr>
          <w:p w14:paraId="029A7947">
            <w:pPr>
              <w:rPr>
                <w:rFonts w:ascii="宋体" w:hAnsi="宋体" w:cs="宋体"/>
                <w:color w:val="auto"/>
                <w:sz w:val="16"/>
                <w:szCs w:val="16"/>
                <w:highlight w:val="none"/>
              </w:rPr>
            </w:pPr>
          </w:p>
        </w:tc>
        <w:tc>
          <w:tcPr>
            <w:tcW w:w="873" w:type="dxa"/>
            <w:shd w:val="clear" w:color="auto" w:fill="auto"/>
          </w:tcPr>
          <w:p w14:paraId="4374C6ED">
            <w:pPr>
              <w:rPr>
                <w:rFonts w:ascii="宋体" w:hAnsi="宋体" w:cs="宋体"/>
                <w:color w:val="auto"/>
                <w:sz w:val="16"/>
                <w:szCs w:val="16"/>
                <w:highlight w:val="none"/>
              </w:rPr>
            </w:pPr>
          </w:p>
        </w:tc>
      </w:tr>
      <w:tr w14:paraId="10CD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gridSpan w:val="2"/>
            <w:vMerge w:val="continue"/>
          </w:tcPr>
          <w:p w14:paraId="51823ED3">
            <w:pPr>
              <w:rPr>
                <w:rFonts w:ascii="宋体" w:hAnsi="宋体" w:cs="宋体"/>
                <w:color w:val="auto"/>
                <w:sz w:val="16"/>
                <w:szCs w:val="16"/>
                <w:highlight w:val="none"/>
              </w:rPr>
            </w:pPr>
          </w:p>
        </w:tc>
        <w:tc>
          <w:tcPr>
            <w:tcW w:w="1956" w:type="dxa"/>
            <w:gridSpan w:val="3"/>
            <w:vAlign w:val="center"/>
          </w:tcPr>
          <w:p w14:paraId="31EA92E9">
            <w:pPr>
              <w:widowControl/>
              <w:jc w:val="center"/>
              <w:textAlignment w:val="center"/>
              <w:rPr>
                <w:rFonts w:ascii="宋体" w:hAnsi="宋体" w:cs="宋体"/>
                <w:color w:val="auto"/>
                <w:kern w:val="0"/>
                <w:sz w:val="16"/>
                <w:szCs w:val="16"/>
                <w:highlight w:val="none"/>
                <w:lang w:bidi="ar"/>
              </w:rPr>
            </w:pPr>
            <w:r>
              <w:rPr>
                <w:rFonts w:hint="eastAsia" w:ascii="宋体" w:hAnsi="宋体" w:cs="宋体"/>
                <w:color w:val="auto"/>
                <w:kern w:val="0"/>
                <w:sz w:val="16"/>
                <w:szCs w:val="16"/>
                <w:highlight w:val="none"/>
                <w:lang w:bidi="ar"/>
              </w:rPr>
              <w:t>合计</w:t>
            </w:r>
          </w:p>
        </w:tc>
        <w:tc>
          <w:tcPr>
            <w:tcW w:w="854" w:type="dxa"/>
          </w:tcPr>
          <w:p w14:paraId="43B9B37F">
            <w:pPr>
              <w:rPr>
                <w:rFonts w:ascii="宋体" w:hAnsi="宋体" w:cs="宋体"/>
                <w:color w:val="auto"/>
                <w:sz w:val="16"/>
                <w:szCs w:val="16"/>
                <w:highlight w:val="none"/>
              </w:rPr>
            </w:pPr>
            <w:r>
              <w:rPr>
                <w:rFonts w:hint="eastAsia" w:ascii="宋体" w:hAnsi="宋体" w:cs="宋体"/>
                <w:color w:val="auto"/>
                <w:sz w:val="16"/>
                <w:szCs w:val="16"/>
                <w:highlight w:val="none"/>
              </w:rPr>
              <w:t>1109.66</w:t>
            </w:r>
          </w:p>
        </w:tc>
        <w:tc>
          <w:tcPr>
            <w:tcW w:w="720" w:type="dxa"/>
          </w:tcPr>
          <w:p w14:paraId="2DE10BE7">
            <w:pPr>
              <w:rPr>
                <w:rFonts w:ascii="宋体" w:hAnsi="宋体" w:cs="宋体"/>
                <w:color w:val="auto"/>
                <w:sz w:val="16"/>
                <w:szCs w:val="16"/>
                <w:highlight w:val="none"/>
              </w:rPr>
            </w:pPr>
            <w:r>
              <w:rPr>
                <w:rFonts w:hint="eastAsia" w:ascii="宋体" w:hAnsi="宋体" w:cs="宋体"/>
                <w:color w:val="auto"/>
                <w:sz w:val="16"/>
                <w:szCs w:val="16"/>
                <w:highlight w:val="none"/>
              </w:rPr>
              <w:t>1424.63</w:t>
            </w:r>
          </w:p>
        </w:tc>
        <w:tc>
          <w:tcPr>
            <w:tcW w:w="1522" w:type="dxa"/>
            <w:gridSpan w:val="2"/>
          </w:tcPr>
          <w:p w14:paraId="036FABC1">
            <w:pPr>
              <w:rPr>
                <w:rFonts w:ascii="宋体" w:hAnsi="宋体" w:cs="宋体"/>
                <w:color w:val="auto"/>
                <w:sz w:val="16"/>
                <w:szCs w:val="16"/>
                <w:highlight w:val="none"/>
              </w:rPr>
            </w:pPr>
            <w:r>
              <w:rPr>
                <w:rFonts w:hint="eastAsia" w:ascii="宋体" w:hAnsi="宋体" w:cs="宋体"/>
                <w:color w:val="auto"/>
                <w:sz w:val="16"/>
                <w:szCs w:val="16"/>
                <w:highlight w:val="none"/>
              </w:rPr>
              <w:t>1343.34</w:t>
            </w:r>
          </w:p>
        </w:tc>
        <w:tc>
          <w:tcPr>
            <w:tcW w:w="1176" w:type="dxa"/>
            <w:gridSpan w:val="2"/>
            <w:shd w:val="clear" w:color="auto" w:fill="auto"/>
            <w:vAlign w:val="top"/>
          </w:tcPr>
          <w:p w14:paraId="05324E2A">
            <w:pPr>
              <w:rPr>
                <w:rFonts w:ascii="宋体" w:hAnsi="宋体" w:cs="宋体"/>
                <w:color w:val="auto"/>
                <w:sz w:val="16"/>
                <w:szCs w:val="16"/>
                <w:highlight w:val="none"/>
              </w:rPr>
            </w:pPr>
            <w:r>
              <w:rPr>
                <w:rFonts w:hint="eastAsia" w:ascii="宋体" w:hAnsi="宋体" w:cs="宋体"/>
                <w:color w:val="auto"/>
                <w:sz w:val="16"/>
                <w:szCs w:val="16"/>
                <w:highlight w:val="none"/>
              </w:rPr>
              <w:t>10</w:t>
            </w:r>
          </w:p>
        </w:tc>
        <w:tc>
          <w:tcPr>
            <w:tcW w:w="1032" w:type="dxa"/>
            <w:shd w:val="clear" w:color="auto" w:fill="auto"/>
            <w:vAlign w:val="top"/>
          </w:tcPr>
          <w:p w14:paraId="233D4412">
            <w:pPr>
              <w:rPr>
                <w:rFonts w:ascii="宋体" w:hAnsi="宋体" w:cs="宋体"/>
                <w:color w:val="auto"/>
                <w:sz w:val="16"/>
                <w:szCs w:val="16"/>
                <w:highlight w:val="none"/>
              </w:rPr>
            </w:pPr>
            <w:r>
              <w:rPr>
                <w:rFonts w:hint="eastAsia" w:ascii="宋体" w:hAnsi="宋体" w:cs="宋体"/>
                <w:color w:val="auto"/>
                <w:sz w:val="16"/>
                <w:szCs w:val="16"/>
                <w:highlight w:val="none"/>
              </w:rPr>
              <w:t>94.29%</w:t>
            </w:r>
          </w:p>
        </w:tc>
        <w:tc>
          <w:tcPr>
            <w:tcW w:w="873" w:type="dxa"/>
            <w:shd w:val="clear" w:color="auto" w:fill="auto"/>
            <w:vAlign w:val="top"/>
          </w:tcPr>
          <w:p w14:paraId="3D1F652A">
            <w:pPr>
              <w:rPr>
                <w:rFonts w:ascii="宋体" w:hAnsi="宋体" w:cs="宋体"/>
                <w:color w:val="auto"/>
                <w:sz w:val="16"/>
                <w:szCs w:val="16"/>
                <w:highlight w:val="none"/>
              </w:rPr>
            </w:pPr>
            <w:r>
              <w:rPr>
                <w:rFonts w:hint="eastAsia" w:ascii="宋体" w:hAnsi="宋体" w:cs="宋体"/>
                <w:color w:val="auto"/>
                <w:sz w:val="16"/>
                <w:szCs w:val="16"/>
                <w:highlight w:val="none"/>
              </w:rPr>
              <w:t>9.43</w:t>
            </w:r>
          </w:p>
        </w:tc>
      </w:tr>
      <w:tr w14:paraId="4836F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gridSpan w:val="2"/>
            <w:vMerge w:val="restart"/>
            <w:vAlign w:val="center"/>
          </w:tcPr>
          <w:p w14:paraId="4B24E9FB">
            <w:pPr>
              <w:jc w:val="center"/>
              <w:rPr>
                <w:color w:val="auto"/>
                <w:highlight w:val="none"/>
              </w:rPr>
            </w:pPr>
            <w:r>
              <w:rPr>
                <w:color w:val="auto"/>
                <w:sz w:val="16"/>
                <w:highlight w:val="none"/>
              </w:rPr>
              <w:t>年度总体目标</w:t>
            </w:r>
          </w:p>
        </w:tc>
        <w:tc>
          <w:tcPr>
            <w:tcW w:w="3530" w:type="dxa"/>
            <w:gridSpan w:val="5"/>
            <w:vAlign w:val="center"/>
          </w:tcPr>
          <w:p w14:paraId="51731D47">
            <w:pPr>
              <w:jc w:val="center"/>
              <w:rPr>
                <w:rFonts w:ascii="宋体" w:hAnsi="宋体" w:cs="宋体"/>
                <w:color w:val="auto"/>
                <w:sz w:val="16"/>
                <w:szCs w:val="16"/>
                <w:highlight w:val="none"/>
              </w:rPr>
            </w:pPr>
            <w:r>
              <w:rPr>
                <w:rFonts w:hint="eastAsia" w:ascii="宋体" w:hAnsi="宋体" w:cs="宋体"/>
                <w:color w:val="auto"/>
                <w:sz w:val="16"/>
                <w:szCs w:val="16"/>
                <w:highlight w:val="none"/>
              </w:rPr>
              <w:t>预期目标</w:t>
            </w:r>
          </w:p>
        </w:tc>
        <w:tc>
          <w:tcPr>
            <w:tcW w:w="4603" w:type="dxa"/>
            <w:gridSpan w:val="6"/>
            <w:vAlign w:val="center"/>
          </w:tcPr>
          <w:p w14:paraId="4B52C238">
            <w:pPr>
              <w:jc w:val="center"/>
              <w:rPr>
                <w:rFonts w:ascii="宋体" w:hAnsi="宋体" w:cs="宋体"/>
                <w:color w:val="auto"/>
                <w:sz w:val="16"/>
                <w:szCs w:val="16"/>
                <w:highlight w:val="none"/>
              </w:rPr>
            </w:pPr>
            <w:r>
              <w:rPr>
                <w:rFonts w:hint="eastAsia" w:ascii="宋体" w:hAnsi="宋体" w:cs="宋体"/>
                <w:color w:val="auto"/>
                <w:sz w:val="16"/>
                <w:szCs w:val="16"/>
                <w:highlight w:val="none"/>
              </w:rPr>
              <w:t>实际完成情况</w:t>
            </w:r>
          </w:p>
        </w:tc>
      </w:tr>
      <w:tr w14:paraId="194B2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gridSpan w:val="2"/>
            <w:vMerge w:val="continue"/>
          </w:tcPr>
          <w:p w14:paraId="5855B23F">
            <w:pPr>
              <w:rPr>
                <w:rFonts w:ascii="宋体" w:hAnsi="宋体" w:cs="宋体"/>
                <w:color w:val="auto"/>
                <w:sz w:val="16"/>
                <w:szCs w:val="16"/>
                <w:highlight w:val="none"/>
              </w:rPr>
            </w:pPr>
          </w:p>
        </w:tc>
        <w:tc>
          <w:tcPr>
            <w:tcW w:w="3530" w:type="dxa"/>
            <w:gridSpan w:val="5"/>
          </w:tcPr>
          <w:p w14:paraId="6B82AD4F">
            <w:pPr>
              <w:rPr>
                <w:rFonts w:ascii="宋体" w:hAnsi="宋体" w:cs="宋体"/>
                <w:color w:val="auto"/>
                <w:sz w:val="16"/>
                <w:szCs w:val="16"/>
                <w:highlight w:val="none"/>
              </w:rPr>
            </w:pPr>
            <w:r>
              <w:rPr>
                <w:rFonts w:hint="eastAsia" w:ascii="宋体" w:hAnsi="宋体" w:cs="宋体"/>
                <w:color w:val="auto"/>
                <w:sz w:val="16"/>
                <w:szCs w:val="16"/>
                <w:highlight w:val="none"/>
              </w:rPr>
              <w:t>目标一、保障在职人员基本工资、津贴补贴、奖金、绩效工资的及时发放。保障单位在职、退休的机关事业单位基本养老保险缴费、城镇职工基本医疗保险缴费、公务员医疗补助缴 费、其他社会保障缴费、住房公积金、离退休费、生活补助等费用的及时支付工作。目标二、保障基本公用支出、交通费、办公用房取暖费、工会福利费等单位运转费用的及时支付率达到100%，年度检验检测任务数量不小于10000件，会议（培训）次数不小于3次，购置检验设备数量4台。
</w:t>
            </w:r>
            <w:r>
              <w:rPr>
                <w:rFonts w:hint="eastAsia" w:ascii="宋体" w:hAnsi="宋体" w:cs="宋体"/>
                <w:color w:val="auto"/>
                <w:sz w:val="16"/>
                <w:szCs w:val="16"/>
                <w:highlight w:val="none"/>
              </w:rPr>
              <w:br w:type="textWrapping"/>
            </w:r>
            <w:r>
              <w:rPr>
                <w:rFonts w:hint="eastAsia" w:ascii="宋体" w:hAnsi="宋体" w:cs="宋体"/>
                <w:color w:val="auto"/>
                <w:sz w:val="16"/>
                <w:szCs w:val="16"/>
                <w:highlight w:val="none"/>
              </w:rPr>
              <w:t>目标三、根据地区市场监督管理局的具体要求和质计所工作实际出发，建立了全地区企业联系制度，同时与企业建立了相互协作、共谋发展的良好沟通渠道，使质量与计量检测工作服务进一步前移，对企业及服务对象落实靠前、靠优、全方位服务；为各方企业和组织的需求，提供优美的环境和优质技术服务。目标四、合理安排项目资金，保障单位项目的正常完成。</w:t>
            </w:r>
          </w:p>
        </w:tc>
        <w:tc>
          <w:tcPr>
            <w:tcW w:w="4603" w:type="dxa"/>
            <w:gridSpan w:val="6"/>
          </w:tcPr>
          <w:p w14:paraId="43F7A7EB">
            <w:pPr>
              <w:rPr>
                <w:rFonts w:ascii="宋体" w:hAnsi="宋体" w:cs="宋体"/>
                <w:color w:val="auto"/>
                <w:sz w:val="16"/>
                <w:szCs w:val="16"/>
                <w:highlight w:val="none"/>
              </w:rPr>
            </w:pPr>
            <w:r>
              <w:rPr>
                <w:rFonts w:hint="eastAsia" w:ascii="宋体" w:hAnsi="宋体" w:cs="宋体"/>
                <w:color w:val="auto"/>
                <w:sz w:val="16"/>
                <w:szCs w:val="16"/>
                <w:highlight w:val="none"/>
              </w:rPr>
              <w:t>截</w:t>
            </w:r>
            <w:r>
              <w:rPr>
                <w:rFonts w:hint="eastAsia" w:ascii="宋体" w:hAnsi="宋体" w:cs="宋体"/>
                <w:color w:val="auto"/>
                <w:sz w:val="16"/>
                <w:szCs w:val="16"/>
                <w:highlight w:val="none"/>
                <w:lang w:eastAsia="zh-CN"/>
              </w:rPr>
              <w:t>至</w:t>
            </w:r>
            <w:r>
              <w:rPr>
                <w:rFonts w:hint="eastAsia" w:ascii="宋体" w:hAnsi="宋体" w:cs="宋体"/>
                <w:color w:val="auto"/>
                <w:sz w:val="16"/>
                <w:szCs w:val="16"/>
                <w:highlight w:val="none"/>
              </w:rPr>
              <w:t>2023年12月31日，我单位实际支出1343.34万元，主要完成以下工作：
</w:t>
            </w:r>
            <w:r>
              <w:rPr>
                <w:rFonts w:hint="eastAsia" w:ascii="宋体" w:hAnsi="宋体" w:cs="宋体"/>
                <w:color w:val="auto"/>
                <w:sz w:val="16"/>
                <w:szCs w:val="16"/>
                <w:highlight w:val="none"/>
              </w:rPr>
              <w:br w:type="textWrapping"/>
            </w:r>
            <w:r>
              <w:rPr>
                <w:rFonts w:hint="eastAsia" w:ascii="宋体" w:hAnsi="宋体" w:cs="宋体"/>
                <w:color w:val="auto"/>
                <w:sz w:val="16"/>
                <w:szCs w:val="16"/>
                <w:highlight w:val="none"/>
              </w:rPr>
              <w:t>1、保障在职人员基本工资、津贴补贴、奖金、绩效工资的及时发放。保障单位在职、退休的机关事业单位基本养老保险缴费、城镇职工基本医疗保险缴费、公务员医疗补助缴 费、其他社会保障缴费、住房公积金、离退休费、生活补助等费用的及时支付工作。
</w:t>
            </w:r>
            <w:r>
              <w:rPr>
                <w:rFonts w:hint="eastAsia" w:ascii="宋体" w:hAnsi="宋体" w:cs="宋体"/>
                <w:color w:val="auto"/>
                <w:sz w:val="16"/>
                <w:szCs w:val="16"/>
                <w:highlight w:val="none"/>
              </w:rPr>
              <w:br w:type="textWrapping"/>
            </w:r>
            <w:r>
              <w:rPr>
                <w:rFonts w:hint="eastAsia" w:ascii="宋体" w:hAnsi="宋体" w:cs="宋体"/>
                <w:color w:val="auto"/>
                <w:sz w:val="16"/>
                <w:szCs w:val="16"/>
                <w:highlight w:val="none"/>
              </w:rPr>
              <w:t>2、保障基本公用支出、交通费、办公用房取暖费、工会福利费等单位运转费用的及时支付率达到100%，年度检验检测任务数量87000件，会议（培训）次数5次，购置检验设备数量4台，检验检测能力参数数量1364项，检验检测覆盖率达到98%。
</w:t>
            </w:r>
            <w:r>
              <w:rPr>
                <w:rFonts w:hint="eastAsia" w:ascii="宋体" w:hAnsi="宋体" w:cs="宋体"/>
                <w:color w:val="auto"/>
                <w:sz w:val="16"/>
                <w:szCs w:val="16"/>
                <w:highlight w:val="none"/>
              </w:rPr>
              <w:br w:type="textWrapping"/>
            </w:r>
            <w:r>
              <w:rPr>
                <w:rFonts w:hint="eastAsia" w:ascii="宋体" w:hAnsi="宋体" w:cs="宋体"/>
                <w:color w:val="auto"/>
                <w:sz w:val="16"/>
                <w:szCs w:val="16"/>
                <w:highlight w:val="none"/>
              </w:rPr>
              <w:t>3、根据地区市场监督管理局的具体要求和质计所工作实际出发，建立了全地区企业联系制度，同时与企业建立了相互协作、共谋发展的良好沟通渠道，使质量与计量检测工作服务进一步前移，对企业及服务对象落实靠前、靠优、全方位服务；为各方企业和组织的需求，提供优美的环境和优质技术服务，受益客户满意度达到98%。
</w:t>
            </w:r>
            <w:r>
              <w:rPr>
                <w:rFonts w:hint="eastAsia" w:ascii="宋体" w:hAnsi="宋体" w:cs="宋体"/>
                <w:color w:val="auto"/>
                <w:sz w:val="16"/>
                <w:szCs w:val="16"/>
                <w:highlight w:val="none"/>
              </w:rPr>
              <w:br w:type="textWrapping"/>
            </w:r>
            <w:r>
              <w:rPr>
                <w:rFonts w:hint="eastAsia" w:ascii="宋体" w:hAnsi="宋体" w:cs="宋体"/>
                <w:color w:val="auto"/>
                <w:sz w:val="16"/>
                <w:szCs w:val="16"/>
                <w:highlight w:val="none"/>
              </w:rPr>
              <w:t>4、合理安排项目资金，保障单位项目的正常完成。</w:t>
            </w:r>
          </w:p>
        </w:tc>
      </w:tr>
      <w:tr w14:paraId="7474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14:paraId="5ED3290E">
            <w:pPr>
              <w:jc w:val="center"/>
              <w:rPr>
                <w:rFonts w:ascii="宋体" w:hAnsi="宋体" w:cs="宋体"/>
                <w:color w:val="auto"/>
                <w:sz w:val="16"/>
                <w:szCs w:val="16"/>
                <w:highlight w:val="none"/>
              </w:rPr>
            </w:pPr>
            <w:r>
              <w:rPr>
                <w:rFonts w:hint="eastAsia" w:ascii="宋体" w:hAnsi="宋体" w:cs="宋体"/>
                <w:color w:val="auto"/>
                <w:sz w:val="16"/>
                <w:szCs w:val="16"/>
                <w:highlight w:val="none"/>
              </w:rPr>
              <w:t>一级指标</w:t>
            </w:r>
          </w:p>
        </w:tc>
        <w:tc>
          <w:tcPr>
            <w:tcW w:w="1155" w:type="dxa"/>
            <w:gridSpan w:val="3"/>
            <w:vAlign w:val="center"/>
          </w:tcPr>
          <w:p w14:paraId="5C59255D">
            <w:pPr>
              <w:jc w:val="center"/>
              <w:rPr>
                <w:rFonts w:ascii="宋体" w:hAnsi="宋体" w:cs="宋体"/>
                <w:color w:val="auto"/>
                <w:sz w:val="16"/>
                <w:szCs w:val="16"/>
                <w:highlight w:val="none"/>
              </w:rPr>
            </w:pPr>
            <w:r>
              <w:rPr>
                <w:rFonts w:hint="eastAsia" w:ascii="宋体" w:hAnsi="宋体" w:cs="宋体"/>
                <w:color w:val="auto"/>
                <w:sz w:val="16"/>
                <w:szCs w:val="16"/>
                <w:highlight w:val="none"/>
              </w:rPr>
              <w:t>二级指标</w:t>
            </w:r>
          </w:p>
        </w:tc>
        <w:tc>
          <w:tcPr>
            <w:tcW w:w="1785" w:type="dxa"/>
            <w:gridSpan w:val="2"/>
            <w:vAlign w:val="center"/>
          </w:tcPr>
          <w:p w14:paraId="2FBD3D5F">
            <w:pPr>
              <w:jc w:val="center"/>
              <w:rPr>
                <w:rFonts w:ascii="宋体" w:hAnsi="宋体" w:cs="宋体"/>
                <w:color w:val="auto"/>
                <w:sz w:val="16"/>
                <w:szCs w:val="16"/>
                <w:highlight w:val="none"/>
              </w:rPr>
            </w:pPr>
            <w:r>
              <w:rPr>
                <w:rFonts w:hint="eastAsia" w:ascii="宋体" w:hAnsi="宋体" w:cs="宋体"/>
                <w:color w:val="auto"/>
                <w:sz w:val="16"/>
                <w:szCs w:val="16"/>
                <w:highlight w:val="none"/>
              </w:rPr>
              <w:t>三级指标</w:t>
            </w:r>
          </w:p>
        </w:tc>
        <w:tc>
          <w:tcPr>
            <w:tcW w:w="990" w:type="dxa"/>
            <w:gridSpan w:val="2"/>
            <w:vAlign w:val="center"/>
          </w:tcPr>
          <w:p w14:paraId="1043805D">
            <w:pPr>
              <w:jc w:val="center"/>
              <w:rPr>
                <w:rFonts w:ascii="宋体" w:hAnsi="宋体" w:cs="宋体"/>
                <w:color w:val="auto"/>
                <w:sz w:val="16"/>
                <w:szCs w:val="16"/>
                <w:highlight w:val="none"/>
              </w:rPr>
            </w:pPr>
            <w:r>
              <w:rPr>
                <w:rFonts w:hint="eastAsia" w:ascii="宋体" w:hAnsi="宋体" w:cs="宋体"/>
                <w:color w:val="auto"/>
                <w:sz w:val="16"/>
                <w:szCs w:val="16"/>
                <w:highlight w:val="none"/>
              </w:rPr>
              <w:t>预期指标值</w:t>
            </w:r>
          </w:p>
        </w:tc>
        <w:tc>
          <w:tcPr>
            <w:tcW w:w="1605" w:type="dxa"/>
            <w:gridSpan w:val="2"/>
            <w:vAlign w:val="center"/>
          </w:tcPr>
          <w:p w14:paraId="26B30DA3">
            <w:pPr>
              <w:jc w:val="center"/>
              <w:rPr>
                <w:rFonts w:ascii="宋体" w:hAnsi="宋体" w:cs="宋体"/>
                <w:color w:val="auto"/>
                <w:sz w:val="16"/>
                <w:szCs w:val="16"/>
                <w:highlight w:val="none"/>
              </w:rPr>
            </w:pPr>
            <w:r>
              <w:rPr>
                <w:rFonts w:hint="eastAsia" w:ascii="宋体" w:hAnsi="宋体" w:cs="宋体"/>
                <w:color w:val="auto"/>
                <w:sz w:val="16"/>
                <w:szCs w:val="16"/>
                <w:highlight w:val="none"/>
              </w:rPr>
              <w:t>指标值设定依据</w:t>
            </w:r>
          </w:p>
        </w:tc>
        <w:tc>
          <w:tcPr>
            <w:tcW w:w="823" w:type="dxa"/>
            <w:vAlign w:val="center"/>
          </w:tcPr>
          <w:p w14:paraId="4CE2A4CA">
            <w:pPr>
              <w:jc w:val="center"/>
              <w:rPr>
                <w:rFonts w:ascii="宋体" w:hAnsi="宋体" w:cs="宋体"/>
                <w:color w:val="auto"/>
                <w:sz w:val="16"/>
                <w:szCs w:val="16"/>
                <w:highlight w:val="none"/>
              </w:rPr>
            </w:pPr>
            <w:r>
              <w:rPr>
                <w:rFonts w:hint="eastAsia" w:ascii="宋体" w:hAnsi="宋体" w:cs="宋体"/>
                <w:color w:val="auto"/>
                <w:sz w:val="16"/>
                <w:szCs w:val="16"/>
                <w:highlight w:val="none"/>
              </w:rPr>
              <w:t>分值权重</w:t>
            </w:r>
          </w:p>
        </w:tc>
        <w:tc>
          <w:tcPr>
            <w:tcW w:w="1032" w:type="dxa"/>
            <w:vAlign w:val="center"/>
          </w:tcPr>
          <w:p w14:paraId="3845CA1C">
            <w:pPr>
              <w:jc w:val="center"/>
              <w:rPr>
                <w:rFonts w:ascii="宋体" w:hAnsi="宋体" w:cs="宋体"/>
                <w:color w:val="auto"/>
                <w:sz w:val="16"/>
                <w:szCs w:val="16"/>
                <w:highlight w:val="none"/>
              </w:rPr>
            </w:pPr>
            <w:r>
              <w:rPr>
                <w:rFonts w:hint="eastAsia" w:ascii="宋体" w:hAnsi="宋体" w:cs="宋体"/>
                <w:color w:val="auto"/>
                <w:sz w:val="16"/>
                <w:szCs w:val="16"/>
                <w:highlight w:val="none"/>
              </w:rPr>
              <w:t>实际完成指标值</w:t>
            </w:r>
          </w:p>
          <w:p w14:paraId="51470F73">
            <w:pPr>
              <w:jc w:val="center"/>
              <w:rPr>
                <w:rFonts w:ascii="宋体" w:hAnsi="宋体" w:cs="宋体"/>
                <w:color w:val="auto"/>
                <w:sz w:val="16"/>
                <w:szCs w:val="16"/>
                <w:highlight w:val="none"/>
              </w:rPr>
            </w:pPr>
          </w:p>
        </w:tc>
        <w:tc>
          <w:tcPr>
            <w:tcW w:w="873" w:type="dxa"/>
            <w:vAlign w:val="center"/>
          </w:tcPr>
          <w:p w14:paraId="6888DBE1">
            <w:pPr>
              <w:jc w:val="center"/>
              <w:rPr>
                <w:rFonts w:ascii="宋体" w:hAnsi="宋体" w:cs="宋体"/>
                <w:color w:val="auto"/>
                <w:sz w:val="16"/>
                <w:szCs w:val="16"/>
                <w:highlight w:val="none"/>
              </w:rPr>
            </w:pPr>
            <w:r>
              <w:rPr>
                <w:rFonts w:hint="eastAsia" w:ascii="宋体" w:hAnsi="宋体" w:cs="宋体"/>
                <w:color w:val="auto"/>
                <w:sz w:val="16"/>
                <w:szCs w:val="16"/>
                <w:highlight w:val="none"/>
              </w:rPr>
              <w:t>得分</w:t>
            </w:r>
          </w:p>
        </w:tc>
      </w:tr>
      <w:tr w14:paraId="09A9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Merge w:val="restart"/>
            <w:vAlign w:val="center"/>
          </w:tcPr>
          <w:p w14:paraId="66634DC9">
            <w:pPr>
              <w:jc w:val="center"/>
              <w:rPr>
                <w:color w:val="auto"/>
                <w:highlight w:val="none"/>
              </w:rPr>
            </w:pPr>
            <w:r>
              <w:rPr>
                <w:color w:val="auto"/>
                <w:sz w:val="16"/>
                <w:highlight w:val="none"/>
              </w:rPr>
              <w:t>履职效能</w:t>
            </w:r>
          </w:p>
        </w:tc>
        <w:tc>
          <w:tcPr>
            <w:tcW w:w="1155" w:type="dxa"/>
            <w:gridSpan w:val="3"/>
            <w:vMerge w:val="restart"/>
            <w:vAlign w:val="center"/>
          </w:tcPr>
          <w:p w14:paraId="4F3F4F12">
            <w:pPr>
              <w:jc w:val="center"/>
              <w:rPr>
                <w:color w:val="auto"/>
                <w:highlight w:val="none"/>
              </w:rPr>
            </w:pPr>
            <w:r>
              <w:rPr>
                <w:color w:val="auto"/>
                <w:sz w:val="16"/>
                <w:highlight w:val="none"/>
              </w:rPr>
              <w:t>数量指标</w:t>
            </w:r>
          </w:p>
        </w:tc>
        <w:tc>
          <w:tcPr>
            <w:tcW w:w="1785" w:type="dxa"/>
            <w:gridSpan w:val="2"/>
            <w:vAlign w:val="center"/>
          </w:tcPr>
          <w:p w14:paraId="25E7C9FB">
            <w:pPr>
              <w:jc w:val="center"/>
              <w:rPr>
                <w:rFonts w:ascii="宋体" w:hAnsi="宋体" w:cs="宋体"/>
                <w:color w:val="auto"/>
                <w:sz w:val="16"/>
                <w:szCs w:val="16"/>
                <w:highlight w:val="none"/>
              </w:rPr>
            </w:pPr>
            <w:r>
              <w:rPr>
                <w:rFonts w:hint="eastAsia" w:ascii="宋体" w:hAnsi="宋体" w:cs="宋体"/>
                <w:color w:val="auto"/>
                <w:sz w:val="16"/>
                <w:szCs w:val="16"/>
                <w:highlight w:val="none"/>
              </w:rPr>
              <w:t>年度检验检测任务数量</w:t>
            </w:r>
          </w:p>
        </w:tc>
        <w:tc>
          <w:tcPr>
            <w:tcW w:w="990" w:type="dxa"/>
            <w:gridSpan w:val="2"/>
            <w:vAlign w:val="center"/>
          </w:tcPr>
          <w:p w14:paraId="7551B8C1">
            <w:pPr>
              <w:jc w:val="center"/>
              <w:rPr>
                <w:rFonts w:ascii="宋体" w:hAnsi="宋体" w:cs="宋体"/>
                <w:color w:val="auto"/>
                <w:sz w:val="16"/>
                <w:szCs w:val="16"/>
                <w:highlight w:val="none"/>
              </w:rPr>
            </w:pPr>
            <w:r>
              <w:rPr>
                <w:rFonts w:hint="eastAsia" w:ascii="宋体" w:hAnsi="宋体" w:cs="宋体"/>
                <w:color w:val="auto"/>
                <w:sz w:val="16"/>
                <w:szCs w:val="16"/>
                <w:highlight w:val="none"/>
              </w:rPr>
              <w:t>&gt;=30000件</w:t>
            </w:r>
          </w:p>
        </w:tc>
        <w:tc>
          <w:tcPr>
            <w:tcW w:w="1605" w:type="dxa"/>
            <w:gridSpan w:val="2"/>
            <w:vAlign w:val="center"/>
          </w:tcPr>
          <w:p w14:paraId="462BE5CD">
            <w:pPr>
              <w:jc w:val="center"/>
              <w:rPr>
                <w:rFonts w:ascii="宋体" w:hAnsi="宋体" w:cs="宋体"/>
                <w:color w:val="auto"/>
                <w:sz w:val="16"/>
                <w:szCs w:val="16"/>
                <w:highlight w:val="none"/>
              </w:rPr>
            </w:pPr>
            <w:r>
              <w:rPr>
                <w:rFonts w:hint="eastAsia" w:ascii="宋体" w:hAnsi="宋体" w:cs="宋体"/>
                <w:color w:val="auto"/>
                <w:sz w:val="16"/>
                <w:szCs w:val="16"/>
                <w:highlight w:val="none"/>
              </w:rPr>
              <w:t>和地财预〔2023〕号, 2023年度工作计划</w:t>
            </w:r>
          </w:p>
        </w:tc>
        <w:tc>
          <w:tcPr>
            <w:tcW w:w="823" w:type="dxa"/>
            <w:vAlign w:val="center"/>
          </w:tcPr>
          <w:p w14:paraId="747F897A">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c>
          <w:tcPr>
            <w:tcW w:w="1032" w:type="dxa"/>
            <w:vAlign w:val="center"/>
          </w:tcPr>
          <w:p w14:paraId="1DD6E5D9">
            <w:pPr>
              <w:jc w:val="center"/>
              <w:rPr>
                <w:rFonts w:ascii="宋体" w:hAnsi="宋体" w:cs="宋体"/>
                <w:color w:val="auto"/>
                <w:sz w:val="16"/>
                <w:szCs w:val="16"/>
                <w:highlight w:val="none"/>
              </w:rPr>
            </w:pPr>
            <w:r>
              <w:rPr>
                <w:rFonts w:hint="eastAsia" w:ascii="宋体" w:hAnsi="宋体" w:cs="宋体"/>
                <w:color w:val="auto"/>
                <w:sz w:val="16"/>
                <w:szCs w:val="16"/>
                <w:highlight w:val="none"/>
              </w:rPr>
              <w:t>87000件</w:t>
            </w:r>
          </w:p>
          <w:p w14:paraId="265AB0DE">
            <w:pPr>
              <w:jc w:val="center"/>
              <w:rPr>
                <w:rFonts w:ascii="宋体" w:hAnsi="宋体" w:cs="宋体"/>
                <w:color w:val="auto"/>
                <w:sz w:val="16"/>
                <w:szCs w:val="16"/>
                <w:highlight w:val="none"/>
              </w:rPr>
            </w:pPr>
          </w:p>
        </w:tc>
        <w:tc>
          <w:tcPr>
            <w:tcW w:w="873" w:type="dxa"/>
            <w:vAlign w:val="center"/>
          </w:tcPr>
          <w:p w14:paraId="02960DB2">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r>
      <w:tr w14:paraId="1A076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Merge w:val="continue"/>
            <w:vAlign w:val="center"/>
          </w:tcPr>
          <w:p w14:paraId="3DC7BD77">
            <w:pPr>
              <w:rPr>
                <w:color w:val="auto"/>
                <w:highlight w:val="none"/>
              </w:rPr>
            </w:pPr>
          </w:p>
        </w:tc>
        <w:tc>
          <w:tcPr>
            <w:tcW w:w="1155" w:type="dxa"/>
            <w:gridSpan w:val="3"/>
            <w:vMerge w:val="continue"/>
            <w:vAlign w:val="center"/>
          </w:tcPr>
          <w:p w14:paraId="6F96F2AB">
            <w:pPr>
              <w:rPr>
                <w:color w:val="auto"/>
                <w:highlight w:val="none"/>
              </w:rPr>
            </w:pPr>
          </w:p>
        </w:tc>
        <w:tc>
          <w:tcPr>
            <w:tcW w:w="1785" w:type="dxa"/>
            <w:gridSpan w:val="2"/>
            <w:vAlign w:val="center"/>
          </w:tcPr>
          <w:p w14:paraId="6D0A136B">
            <w:pPr>
              <w:jc w:val="center"/>
              <w:rPr>
                <w:rFonts w:ascii="宋体" w:hAnsi="宋体" w:cs="宋体"/>
                <w:color w:val="auto"/>
                <w:sz w:val="16"/>
                <w:szCs w:val="16"/>
                <w:highlight w:val="none"/>
              </w:rPr>
            </w:pPr>
            <w:r>
              <w:rPr>
                <w:rFonts w:hint="eastAsia" w:ascii="宋体" w:hAnsi="宋体" w:cs="宋体"/>
                <w:color w:val="auto"/>
                <w:sz w:val="16"/>
                <w:szCs w:val="16"/>
                <w:highlight w:val="none"/>
              </w:rPr>
              <w:t>会议（培训）次数</w:t>
            </w:r>
          </w:p>
        </w:tc>
        <w:tc>
          <w:tcPr>
            <w:tcW w:w="990" w:type="dxa"/>
            <w:gridSpan w:val="2"/>
            <w:vAlign w:val="center"/>
          </w:tcPr>
          <w:p w14:paraId="676B30FA">
            <w:pPr>
              <w:jc w:val="center"/>
              <w:rPr>
                <w:rFonts w:ascii="宋体" w:hAnsi="宋体" w:cs="宋体"/>
                <w:color w:val="auto"/>
                <w:sz w:val="16"/>
                <w:szCs w:val="16"/>
                <w:highlight w:val="none"/>
              </w:rPr>
            </w:pPr>
            <w:r>
              <w:rPr>
                <w:rFonts w:hint="eastAsia" w:ascii="宋体" w:hAnsi="宋体" w:cs="宋体"/>
                <w:color w:val="auto"/>
                <w:sz w:val="16"/>
                <w:szCs w:val="16"/>
                <w:highlight w:val="none"/>
              </w:rPr>
              <w:t>&gt;=5次</w:t>
            </w:r>
          </w:p>
        </w:tc>
        <w:tc>
          <w:tcPr>
            <w:tcW w:w="1605" w:type="dxa"/>
            <w:gridSpan w:val="2"/>
            <w:vAlign w:val="center"/>
          </w:tcPr>
          <w:p w14:paraId="4DC1BD2F">
            <w:pPr>
              <w:jc w:val="center"/>
              <w:rPr>
                <w:rFonts w:ascii="宋体" w:hAnsi="宋体" w:cs="宋体"/>
                <w:color w:val="auto"/>
                <w:sz w:val="16"/>
                <w:szCs w:val="16"/>
                <w:highlight w:val="none"/>
              </w:rPr>
            </w:pPr>
            <w:r>
              <w:rPr>
                <w:rFonts w:hint="eastAsia" w:ascii="宋体" w:hAnsi="宋体" w:cs="宋体"/>
                <w:color w:val="auto"/>
                <w:sz w:val="16"/>
                <w:szCs w:val="16"/>
                <w:highlight w:val="none"/>
              </w:rPr>
              <w:t>和地财预〔2023〕号, 2023年度工作计划</w:t>
            </w:r>
          </w:p>
        </w:tc>
        <w:tc>
          <w:tcPr>
            <w:tcW w:w="823" w:type="dxa"/>
            <w:vAlign w:val="center"/>
          </w:tcPr>
          <w:p w14:paraId="3EE1E3D4">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c>
          <w:tcPr>
            <w:tcW w:w="1032" w:type="dxa"/>
            <w:vAlign w:val="center"/>
          </w:tcPr>
          <w:p w14:paraId="644C2490">
            <w:pPr>
              <w:jc w:val="center"/>
              <w:rPr>
                <w:rFonts w:ascii="宋体" w:hAnsi="宋体" w:cs="宋体"/>
                <w:color w:val="auto"/>
                <w:sz w:val="16"/>
                <w:szCs w:val="16"/>
                <w:highlight w:val="none"/>
              </w:rPr>
            </w:pPr>
            <w:r>
              <w:rPr>
                <w:rFonts w:hint="eastAsia" w:ascii="宋体" w:hAnsi="宋体" w:cs="宋体"/>
                <w:color w:val="auto"/>
                <w:sz w:val="16"/>
                <w:szCs w:val="16"/>
                <w:highlight w:val="none"/>
              </w:rPr>
              <w:t>5次</w:t>
            </w:r>
          </w:p>
          <w:p w14:paraId="08CC2F8C">
            <w:pPr>
              <w:jc w:val="center"/>
              <w:rPr>
                <w:rFonts w:ascii="宋体" w:hAnsi="宋体" w:cs="宋体"/>
                <w:color w:val="auto"/>
                <w:sz w:val="16"/>
                <w:szCs w:val="16"/>
                <w:highlight w:val="none"/>
              </w:rPr>
            </w:pPr>
          </w:p>
        </w:tc>
        <w:tc>
          <w:tcPr>
            <w:tcW w:w="873" w:type="dxa"/>
            <w:vAlign w:val="center"/>
          </w:tcPr>
          <w:p w14:paraId="59DC2B35">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r>
      <w:tr w14:paraId="77016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Merge w:val="continue"/>
            <w:vAlign w:val="center"/>
          </w:tcPr>
          <w:p w14:paraId="31895D3B">
            <w:pPr>
              <w:rPr>
                <w:color w:val="auto"/>
                <w:highlight w:val="none"/>
              </w:rPr>
            </w:pPr>
          </w:p>
        </w:tc>
        <w:tc>
          <w:tcPr>
            <w:tcW w:w="1155" w:type="dxa"/>
            <w:gridSpan w:val="3"/>
            <w:vMerge w:val="continue"/>
            <w:vAlign w:val="center"/>
          </w:tcPr>
          <w:p w14:paraId="698BFF5A">
            <w:pPr>
              <w:rPr>
                <w:color w:val="auto"/>
                <w:highlight w:val="none"/>
              </w:rPr>
            </w:pPr>
          </w:p>
        </w:tc>
        <w:tc>
          <w:tcPr>
            <w:tcW w:w="1785" w:type="dxa"/>
            <w:gridSpan w:val="2"/>
            <w:vAlign w:val="center"/>
          </w:tcPr>
          <w:p w14:paraId="51FDC76E">
            <w:pPr>
              <w:jc w:val="center"/>
              <w:rPr>
                <w:rFonts w:ascii="宋体" w:hAnsi="宋体" w:cs="宋体"/>
                <w:color w:val="auto"/>
                <w:sz w:val="16"/>
                <w:szCs w:val="16"/>
                <w:highlight w:val="none"/>
              </w:rPr>
            </w:pPr>
            <w:r>
              <w:rPr>
                <w:rFonts w:hint="eastAsia" w:ascii="宋体" w:hAnsi="宋体" w:cs="宋体"/>
                <w:color w:val="auto"/>
                <w:sz w:val="16"/>
                <w:szCs w:val="16"/>
                <w:highlight w:val="none"/>
              </w:rPr>
              <w:t>检验检测能力参数数量</w:t>
            </w:r>
          </w:p>
        </w:tc>
        <w:tc>
          <w:tcPr>
            <w:tcW w:w="990" w:type="dxa"/>
            <w:gridSpan w:val="2"/>
            <w:vAlign w:val="center"/>
          </w:tcPr>
          <w:p w14:paraId="541728E4">
            <w:pPr>
              <w:jc w:val="center"/>
              <w:rPr>
                <w:rFonts w:ascii="宋体" w:hAnsi="宋体" w:cs="宋体"/>
                <w:color w:val="auto"/>
                <w:sz w:val="16"/>
                <w:szCs w:val="16"/>
                <w:highlight w:val="none"/>
              </w:rPr>
            </w:pPr>
            <w:r>
              <w:rPr>
                <w:rFonts w:hint="eastAsia" w:ascii="宋体" w:hAnsi="宋体" w:cs="宋体"/>
                <w:color w:val="auto"/>
                <w:sz w:val="16"/>
                <w:szCs w:val="16"/>
                <w:highlight w:val="none"/>
              </w:rPr>
              <w:t>&gt;=1364项</w:t>
            </w:r>
          </w:p>
        </w:tc>
        <w:tc>
          <w:tcPr>
            <w:tcW w:w="1605" w:type="dxa"/>
            <w:gridSpan w:val="2"/>
            <w:vAlign w:val="center"/>
          </w:tcPr>
          <w:p w14:paraId="387C4774">
            <w:pPr>
              <w:jc w:val="center"/>
              <w:rPr>
                <w:rFonts w:ascii="宋体" w:hAnsi="宋体" w:cs="宋体"/>
                <w:color w:val="auto"/>
                <w:sz w:val="16"/>
                <w:szCs w:val="16"/>
                <w:highlight w:val="none"/>
              </w:rPr>
            </w:pPr>
            <w:r>
              <w:rPr>
                <w:rFonts w:hint="eastAsia" w:ascii="宋体" w:hAnsi="宋体" w:cs="宋体"/>
                <w:color w:val="auto"/>
                <w:sz w:val="16"/>
                <w:szCs w:val="16"/>
                <w:highlight w:val="none"/>
              </w:rPr>
              <w:t>和地财预〔2023〕号, 2023年度工作计划</w:t>
            </w:r>
          </w:p>
        </w:tc>
        <w:tc>
          <w:tcPr>
            <w:tcW w:w="823" w:type="dxa"/>
            <w:vAlign w:val="center"/>
          </w:tcPr>
          <w:p w14:paraId="26BF306D">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c>
          <w:tcPr>
            <w:tcW w:w="1032" w:type="dxa"/>
            <w:vAlign w:val="center"/>
          </w:tcPr>
          <w:p w14:paraId="0B028B9D">
            <w:pPr>
              <w:jc w:val="center"/>
              <w:rPr>
                <w:rFonts w:ascii="宋体" w:hAnsi="宋体" w:cs="宋体"/>
                <w:color w:val="auto"/>
                <w:sz w:val="16"/>
                <w:szCs w:val="16"/>
                <w:highlight w:val="none"/>
              </w:rPr>
            </w:pPr>
            <w:r>
              <w:rPr>
                <w:rFonts w:hint="eastAsia" w:ascii="宋体" w:hAnsi="宋体" w:cs="宋体"/>
                <w:color w:val="auto"/>
                <w:sz w:val="16"/>
                <w:szCs w:val="16"/>
                <w:highlight w:val="none"/>
              </w:rPr>
              <w:t>1364项</w:t>
            </w:r>
          </w:p>
          <w:p w14:paraId="1380FFF0">
            <w:pPr>
              <w:jc w:val="center"/>
              <w:rPr>
                <w:rFonts w:ascii="宋体" w:hAnsi="宋体" w:cs="宋体"/>
                <w:color w:val="auto"/>
                <w:sz w:val="16"/>
                <w:szCs w:val="16"/>
                <w:highlight w:val="none"/>
              </w:rPr>
            </w:pPr>
          </w:p>
        </w:tc>
        <w:tc>
          <w:tcPr>
            <w:tcW w:w="873" w:type="dxa"/>
            <w:vAlign w:val="center"/>
          </w:tcPr>
          <w:p w14:paraId="4C4E3BCC">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r>
      <w:tr w14:paraId="10AE5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Merge w:val="continue"/>
            <w:vAlign w:val="center"/>
          </w:tcPr>
          <w:p w14:paraId="16A69060">
            <w:pPr>
              <w:rPr>
                <w:color w:val="auto"/>
                <w:highlight w:val="none"/>
              </w:rPr>
            </w:pPr>
          </w:p>
        </w:tc>
        <w:tc>
          <w:tcPr>
            <w:tcW w:w="1155" w:type="dxa"/>
            <w:gridSpan w:val="3"/>
            <w:vMerge w:val="continue"/>
            <w:vAlign w:val="center"/>
          </w:tcPr>
          <w:p w14:paraId="13038D2A">
            <w:pPr>
              <w:rPr>
                <w:color w:val="auto"/>
                <w:highlight w:val="none"/>
              </w:rPr>
            </w:pPr>
          </w:p>
        </w:tc>
        <w:tc>
          <w:tcPr>
            <w:tcW w:w="1785" w:type="dxa"/>
            <w:gridSpan w:val="2"/>
            <w:vAlign w:val="center"/>
          </w:tcPr>
          <w:p w14:paraId="52F41FD4">
            <w:pPr>
              <w:jc w:val="center"/>
              <w:rPr>
                <w:rFonts w:ascii="宋体" w:hAnsi="宋体" w:cs="宋体"/>
                <w:color w:val="auto"/>
                <w:sz w:val="16"/>
                <w:szCs w:val="16"/>
                <w:highlight w:val="none"/>
              </w:rPr>
            </w:pPr>
            <w:r>
              <w:rPr>
                <w:rFonts w:hint="eastAsia" w:ascii="宋体" w:hAnsi="宋体" w:cs="宋体"/>
                <w:color w:val="auto"/>
                <w:sz w:val="16"/>
                <w:szCs w:val="16"/>
                <w:highlight w:val="none"/>
              </w:rPr>
              <w:t>购置检验设备数量</w:t>
            </w:r>
          </w:p>
        </w:tc>
        <w:tc>
          <w:tcPr>
            <w:tcW w:w="990" w:type="dxa"/>
            <w:gridSpan w:val="2"/>
            <w:vAlign w:val="center"/>
          </w:tcPr>
          <w:p w14:paraId="27E31004">
            <w:pPr>
              <w:jc w:val="center"/>
              <w:rPr>
                <w:rFonts w:ascii="宋体" w:hAnsi="宋体" w:cs="宋体"/>
                <w:color w:val="auto"/>
                <w:sz w:val="16"/>
                <w:szCs w:val="16"/>
                <w:highlight w:val="none"/>
              </w:rPr>
            </w:pPr>
            <w:r>
              <w:rPr>
                <w:rFonts w:hint="eastAsia" w:ascii="宋体" w:hAnsi="宋体" w:cs="宋体"/>
                <w:color w:val="auto"/>
                <w:sz w:val="16"/>
                <w:szCs w:val="16"/>
                <w:highlight w:val="none"/>
              </w:rPr>
              <w:t>&gt;=4台</w:t>
            </w:r>
          </w:p>
        </w:tc>
        <w:tc>
          <w:tcPr>
            <w:tcW w:w="1605" w:type="dxa"/>
            <w:gridSpan w:val="2"/>
            <w:vAlign w:val="center"/>
          </w:tcPr>
          <w:p w14:paraId="5571A94C">
            <w:pPr>
              <w:jc w:val="center"/>
              <w:rPr>
                <w:rFonts w:ascii="宋体" w:hAnsi="宋体" w:cs="宋体"/>
                <w:color w:val="auto"/>
                <w:sz w:val="16"/>
                <w:szCs w:val="16"/>
                <w:highlight w:val="none"/>
              </w:rPr>
            </w:pPr>
            <w:r>
              <w:rPr>
                <w:rFonts w:hint="eastAsia" w:ascii="宋体" w:hAnsi="宋体" w:cs="宋体"/>
                <w:color w:val="auto"/>
                <w:sz w:val="16"/>
                <w:szCs w:val="16"/>
                <w:highlight w:val="none"/>
              </w:rPr>
              <w:t>和地财预〔2023〕号, 2023年度工作计划</w:t>
            </w:r>
          </w:p>
        </w:tc>
        <w:tc>
          <w:tcPr>
            <w:tcW w:w="823" w:type="dxa"/>
            <w:vAlign w:val="center"/>
          </w:tcPr>
          <w:p w14:paraId="248BF706">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c>
          <w:tcPr>
            <w:tcW w:w="1032" w:type="dxa"/>
            <w:vAlign w:val="center"/>
          </w:tcPr>
          <w:p w14:paraId="5DF706EC">
            <w:pPr>
              <w:jc w:val="center"/>
              <w:rPr>
                <w:rFonts w:ascii="宋体" w:hAnsi="宋体" w:cs="宋体"/>
                <w:color w:val="auto"/>
                <w:sz w:val="16"/>
                <w:szCs w:val="16"/>
                <w:highlight w:val="none"/>
              </w:rPr>
            </w:pPr>
            <w:r>
              <w:rPr>
                <w:rFonts w:hint="eastAsia" w:ascii="宋体" w:hAnsi="宋体" w:cs="宋体"/>
                <w:color w:val="auto"/>
                <w:sz w:val="16"/>
                <w:szCs w:val="16"/>
                <w:highlight w:val="none"/>
              </w:rPr>
              <w:t>4台</w:t>
            </w:r>
          </w:p>
          <w:p w14:paraId="3A79621B">
            <w:pPr>
              <w:jc w:val="center"/>
              <w:rPr>
                <w:rFonts w:ascii="宋体" w:hAnsi="宋体" w:cs="宋体"/>
                <w:color w:val="auto"/>
                <w:sz w:val="16"/>
                <w:szCs w:val="16"/>
                <w:highlight w:val="none"/>
              </w:rPr>
            </w:pPr>
          </w:p>
        </w:tc>
        <w:tc>
          <w:tcPr>
            <w:tcW w:w="873" w:type="dxa"/>
            <w:vAlign w:val="center"/>
          </w:tcPr>
          <w:p w14:paraId="71DB8D82">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r>
      <w:tr w14:paraId="14AF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Merge w:val="continue"/>
            <w:vAlign w:val="center"/>
          </w:tcPr>
          <w:p w14:paraId="3DE06367">
            <w:pPr>
              <w:rPr>
                <w:color w:val="auto"/>
                <w:highlight w:val="none"/>
              </w:rPr>
            </w:pPr>
          </w:p>
        </w:tc>
        <w:tc>
          <w:tcPr>
            <w:tcW w:w="1155" w:type="dxa"/>
            <w:gridSpan w:val="3"/>
            <w:vAlign w:val="center"/>
          </w:tcPr>
          <w:p w14:paraId="157D518F">
            <w:pPr>
              <w:jc w:val="center"/>
              <w:rPr>
                <w:rFonts w:ascii="宋体" w:hAnsi="宋体" w:cs="宋体"/>
                <w:color w:val="auto"/>
                <w:sz w:val="16"/>
                <w:szCs w:val="16"/>
                <w:highlight w:val="none"/>
              </w:rPr>
            </w:pPr>
            <w:r>
              <w:rPr>
                <w:rFonts w:hint="eastAsia" w:ascii="宋体" w:hAnsi="宋体" w:cs="宋体"/>
                <w:color w:val="auto"/>
                <w:sz w:val="16"/>
                <w:szCs w:val="16"/>
                <w:highlight w:val="none"/>
              </w:rPr>
              <w:t>质量指标</w:t>
            </w:r>
          </w:p>
        </w:tc>
        <w:tc>
          <w:tcPr>
            <w:tcW w:w="1785" w:type="dxa"/>
            <w:gridSpan w:val="2"/>
            <w:vAlign w:val="center"/>
          </w:tcPr>
          <w:p w14:paraId="77980AC6">
            <w:pPr>
              <w:jc w:val="center"/>
              <w:rPr>
                <w:rFonts w:ascii="宋体" w:hAnsi="宋体" w:cs="宋体"/>
                <w:color w:val="auto"/>
                <w:sz w:val="16"/>
                <w:szCs w:val="16"/>
                <w:highlight w:val="none"/>
              </w:rPr>
            </w:pPr>
            <w:r>
              <w:rPr>
                <w:rFonts w:hint="eastAsia" w:ascii="宋体" w:hAnsi="宋体" w:cs="宋体"/>
                <w:color w:val="auto"/>
                <w:sz w:val="16"/>
                <w:szCs w:val="16"/>
                <w:highlight w:val="none"/>
              </w:rPr>
              <w:t>检验检测工作覆盖率</w:t>
            </w:r>
          </w:p>
        </w:tc>
        <w:tc>
          <w:tcPr>
            <w:tcW w:w="990" w:type="dxa"/>
            <w:gridSpan w:val="2"/>
            <w:vAlign w:val="center"/>
          </w:tcPr>
          <w:p w14:paraId="5F99F7F2">
            <w:pPr>
              <w:jc w:val="center"/>
              <w:rPr>
                <w:rFonts w:ascii="宋体" w:hAnsi="宋体" w:cs="宋体"/>
                <w:color w:val="auto"/>
                <w:sz w:val="16"/>
                <w:szCs w:val="16"/>
                <w:highlight w:val="none"/>
              </w:rPr>
            </w:pPr>
            <w:r>
              <w:rPr>
                <w:rFonts w:hint="eastAsia" w:ascii="宋体" w:hAnsi="宋体" w:cs="宋体"/>
                <w:color w:val="auto"/>
                <w:sz w:val="16"/>
                <w:szCs w:val="16"/>
                <w:highlight w:val="none"/>
              </w:rPr>
              <w:t>&gt;=98%</w:t>
            </w:r>
          </w:p>
        </w:tc>
        <w:tc>
          <w:tcPr>
            <w:tcW w:w="1605" w:type="dxa"/>
            <w:gridSpan w:val="2"/>
            <w:vAlign w:val="center"/>
          </w:tcPr>
          <w:p w14:paraId="6AED66CF">
            <w:pPr>
              <w:jc w:val="center"/>
              <w:rPr>
                <w:rFonts w:ascii="宋体" w:hAnsi="宋体" w:cs="宋体"/>
                <w:color w:val="auto"/>
                <w:sz w:val="16"/>
                <w:szCs w:val="16"/>
                <w:highlight w:val="none"/>
              </w:rPr>
            </w:pPr>
            <w:r>
              <w:rPr>
                <w:rFonts w:hint="eastAsia" w:ascii="宋体" w:hAnsi="宋体" w:cs="宋体"/>
                <w:color w:val="auto"/>
                <w:sz w:val="16"/>
                <w:szCs w:val="16"/>
                <w:highlight w:val="none"/>
              </w:rPr>
              <w:t>和地财预〔2023〕号, 2023年度工作计划</w:t>
            </w:r>
          </w:p>
        </w:tc>
        <w:tc>
          <w:tcPr>
            <w:tcW w:w="823" w:type="dxa"/>
            <w:vAlign w:val="center"/>
          </w:tcPr>
          <w:p w14:paraId="12A364DD">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c>
          <w:tcPr>
            <w:tcW w:w="1032" w:type="dxa"/>
            <w:vAlign w:val="center"/>
          </w:tcPr>
          <w:p w14:paraId="0D6BA160">
            <w:pPr>
              <w:jc w:val="center"/>
              <w:rPr>
                <w:rFonts w:ascii="宋体" w:hAnsi="宋体" w:cs="宋体"/>
                <w:color w:val="auto"/>
                <w:sz w:val="16"/>
                <w:szCs w:val="16"/>
                <w:highlight w:val="none"/>
              </w:rPr>
            </w:pPr>
            <w:r>
              <w:rPr>
                <w:rFonts w:hint="eastAsia" w:ascii="宋体" w:hAnsi="宋体" w:cs="宋体"/>
                <w:color w:val="auto"/>
                <w:sz w:val="16"/>
                <w:szCs w:val="16"/>
                <w:highlight w:val="none"/>
              </w:rPr>
              <w:t>98%</w:t>
            </w:r>
          </w:p>
          <w:p w14:paraId="53946B0E">
            <w:pPr>
              <w:jc w:val="center"/>
              <w:rPr>
                <w:rFonts w:ascii="宋体" w:hAnsi="宋体" w:cs="宋体"/>
                <w:color w:val="auto"/>
                <w:sz w:val="16"/>
                <w:szCs w:val="16"/>
                <w:highlight w:val="none"/>
              </w:rPr>
            </w:pPr>
          </w:p>
        </w:tc>
        <w:tc>
          <w:tcPr>
            <w:tcW w:w="873" w:type="dxa"/>
            <w:vAlign w:val="center"/>
          </w:tcPr>
          <w:p w14:paraId="47B2490D">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r>
      <w:tr w14:paraId="37D2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Merge w:val="continue"/>
            <w:vAlign w:val="center"/>
          </w:tcPr>
          <w:p w14:paraId="632279B5">
            <w:pPr>
              <w:rPr>
                <w:color w:val="auto"/>
                <w:highlight w:val="none"/>
              </w:rPr>
            </w:pPr>
          </w:p>
        </w:tc>
        <w:tc>
          <w:tcPr>
            <w:tcW w:w="1155" w:type="dxa"/>
            <w:gridSpan w:val="3"/>
            <w:vAlign w:val="center"/>
          </w:tcPr>
          <w:p w14:paraId="2EF539EC">
            <w:pPr>
              <w:jc w:val="center"/>
              <w:rPr>
                <w:rFonts w:ascii="宋体" w:hAnsi="宋体" w:cs="宋体"/>
                <w:color w:val="auto"/>
                <w:sz w:val="16"/>
                <w:szCs w:val="16"/>
                <w:highlight w:val="none"/>
              </w:rPr>
            </w:pPr>
            <w:r>
              <w:rPr>
                <w:rFonts w:hint="eastAsia" w:ascii="宋体" w:hAnsi="宋体" w:cs="宋体"/>
                <w:color w:val="auto"/>
                <w:sz w:val="16"/>
                <w:szCs w:val="16"/>
                <w:highlight w:val="none"/>
              </w:rPr>
              <w:t>时效指标</w:t>
            </w:r>
          </w:p>
        </w:tc>
        <w:tc>
          <w:tcPr>
            <w:tcW w:w="1785" w:type="dxa"/>
            <w:gridSpan w:val="2"/>
            <w:vAlign w:val="center"/>
          </w:tcPr>
          <w:p w14:paraId="66882AE2">
            <w:pPr>
              <w:jc w:val="center"/>
              <w:rPr>
                <w:rFonts w:ascii="宋体" w:hAnsi="宋体" w:cs="宋体"/>
                <w:color w:val="auto"/>
                <w:sz w:val="16"/>
                <w:szCs w:val="16"/>
                <w:highlight w:val="none"/>
              </w:rPr>
            </w:pPr>
            <w:r>
              <w:rPr>
                <w:rFonts w:hint="eastAsia" w:ascii="宋体" w:hAnsi="宋体" w:cs="宋体"/>
                <w:color w:val="auto"/>
                <w:sz w:val="16"/>
                <w:szCs w:val="16"/>
                <w:highlight w:val="none"/>
              </w:rPr>
              <w:t>年度检验检测任务按时完成率</w:t>
            </w:r>
          </w:p>
        </w:tc>
        <w:tc>
          <w:tcPr>
            <w:tcW w:w="990" w:type="dxa"/>
            <w:gridSpan w:val="2"/>
            <w:vAlign w:val="center"/>
          </w:tcPr>
          <w:p w14:paraId="5FA2CE0E">
            <w:pPr>
              <w:jc w:val="center"/>
              <w:rPr>
                <w:rFonts w:ascii="宋体" w:hAnsi="宋体" w:cs="宋体"/>
                <w:color w:val="auto"/>
                <w:sz w:val="16"/>
                <w:szCs w:val="16"/>
                <w:highlight w:val="none"/>
              </w:rPr>
            </w:pPr>
            <w:r>
              <w:rPr>
                <w:rFonts w:hint="eastAsia" w:ascii="宋体" w:hAnsi="宋体" w:cs="宋体"/>
                <w:color w:val="auto"/>
                <w:sz w:val="16"/>
                <w:szCs w:val="16"/>
                <w:highlight w:val="none"/>
              </w:rPr>
              <w:t>&gt;=95%</w:t>
            </w:r>
          </w:p>
        </w:tc>
        <w:tc>
          <w:tcPr>
            <w:tcW w:w="1605" w:type="dxa"/>
            <w:gridSpan w:val="2"/>
            <w:vAlign w:val="center"/>
          </w:tcPr>
          <w:p w14:paraId="21CA2A64">
            <w:pPr>
              <w:jc w:val="center"/>
              <w:rPr>
                <w:rFonts w:ascii="宋体" w:hAnsi="宋体" w:cs="宋体"/>
                <w:color w:val="auto"/>
                <w:sz w:val="16"/>
                <w:szCs w:val="16"/>
                <w:highlight w:val="none"/>
              </w:rPr>
            </w:pPr>
            <w:r>
              <w:rPr>
                <w:rFonts w:hint="eastAsia" w:ascii="宋体" w:hAnsi="宋体" w:cs="宋体"/>
                <w:color w:val="auto"/>
                <w:sz w:val="16"/>
                <w:szCs w:val="16"/>
                <w:highlight w:val="none"/>
              </w:rPr>
              <w:t>和地财预〔2023〕号, 2023年度工作计划</w:t>
            </w:r>
          </w:p>
        </w:tc>
        <w:tc>
          <w:tcPr>
            <w:tcW w:w="823" w:type="dxa"/>
            <w:vAlign w:val="center"/>
          </w:tcPr>
          <w:p w14:paraId="448786CB">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c>
          <w:tcPr>
            <w:tcW w:w="1032" w:type="dxa"/>
            <w:vAlign w:val="center"/>
          </w:tcPr>
          <w:p w14:paraId="764F6C0A">
            <w:pPr>
              <w:jc w:val="center"/>
              <w:rPr>
                <w:rFonts w:ascii="宋体" w:hAnsi="宋体" w:cs="宋体"/>
                <w:color w:val="auto"/>
                <w:sz w:val="16"/>
                <w:szCs w:val="16"/>
                <w:highlight w:val="none"/>
              </w:rPr>
            </w:pPr>
            <w:r>
              <w:rPr>
                <w:rFonts w:hint="eastAsia" w:ascii="宋体" w:hAnsi="宋体" w:cs="宋体"/>
                <w:color w:val="auto"/>
                <w:sz w:val="16"/>
                <w:szCs w:val="16"/>
                <w:highlight w:val="none"/>
              </w:rPr>
              <w:t>95%</w:t>
            </w:r>
          </w:p>
          <w:p w14:paraId="261AE47D">
            <w:pPr>
              <w:jc w:val="center"/>
              <w:rPr>
                <w:rFonts w:ascii="宋体" w:hAnsi="宋体" w:cs="宋体"/>
                <w:color w:val="auto"/>
                <w:sz w:val="16"/>
                <w:szCs w:val="16"/>
                <w:highlight w:val="none"/>
              </w:rPr>
            </w:pPr>
          </w:p>
        </w:tc>
        <w:tc>
          <w:tcPr>
            <w:tcW w:w="873" w:type="dxa"/>
            <w:vAlign w:val="center"/>
          </w:tcPr>
          <w:p w14:paraId="59D4E158">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r>
      <w:tr w14:paraId="61380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14:paraId="5D4CF040">
            <w:pPr>
              <w:jc w:val="center"/>
              <w:rPr>
                <w:rFonts w:ascii="宋体" w:hAnsi="宋体" w:cs="宋体"/>
                <w:color w:val="auto"/>
                <w:sz w:val="16"/>
                <w:szCs w:val="16"/>
                <w:highlight w:val="none"/>
              </w:rPr>
            </w:pPr>
            <w:r>
              <w:rPr>
                <w:rFonts w:hint="eastAsia" w:ascii="宋体" w:hAnsi="宋体" w:cs="宋体"/>
                <w:color w:val="auto"/>
                <w:sz w:val="16"/>
                <w:szCs w:val="16"/>
                <w:highlight w:val="none"/>
              </w:rPr>
              <w:t>社会效益</w:t>
            </w:r>
          </w:p>
        </w:tc>
        <w:tc>
          <w:tcPr>
            <w:tcW w:w="1155" w:type="dxa"/>
            <w:gridSpan w:val="3"/>
            <w:vAlign w:val="center"/>
          </w:tcPr>
          <w:p w14:paraId="60F0A8DA">
            <w:pPr>
              <w:jc w:val="center"/>
              <w:rPr>
                <w:rFonts w:ascii="宋体" w:hAnsi="宋体" w:cs="宋体"/>
                <w:color w:val="auto"/>
                <w:sz w:val="16"/>
                <w:szCs w:val="16"/>
                <w:highlight w:val="none"/>
              </w:rPr>
            </w:pPr>
            <w:r>
              <w:rPr>
                <w:rFonts w:hint="eastAsia" w:ascii="宋体" w:hAnsi="宋体" w:cs="宋体"/>
                <w:color w:val="auto"/>
                <w:sz w:val="16"/>
                <w:szCs w:val="16"/>
                <w:highlight w:val="none"/>
              </w:rPr>
              <w:t>社会效益</w:t>
            </w:r>
          </w:p>
        </w:tc>
        <w:tc>
          <w:tcPr>
            <w:tcW w:w="1785" w:type="dxa"/>
            <w:gridSpan w:val="2"/>
            <w:vAlign w:val="center"/>
          </w:tcPr>
          <w:p w14:paraId="0F06961B">
            <w:pPr>
              <w:jc w:val="center"/>
              <w:rPr>
                <w:rFonts w:ascii="宋体" w:hAnsi="宋体" w:cs="宋体"/>
                <w:color w:val="auto"/>
                <w:sz w:val="16"/>
                <w:szCs w:val="16"/>
                <w:highlight w:val="none"/>
              </w:rPr>
            </w:pPr>
            <w:r>
              <w:rPr>
                <w:rFonts w:hint="eastAsia" w:ascii="宋体" w:hAnsi="宋体" w:cs="宋体"/>
                <w:color w:val="auto"/>
                <w:sz w:val="16"/>
                <w:szCs w:val="16"/>
                <w:highlight w:val="none"/>
              </w:rPr>
              <w:t>检验检测结果对社会群众的身体健康安全效益</w:t>
            </w:r>
          </w:p>
        </w:tc>
        <w:tc>
          <w:tcPr>
            <w:tcW w:w="990" w:type="dxa"/>
            <w:gridSpan w:val="2"/>
            <w:vAlign w:val="center"/>
          </w:tcPr>
          <w:p w14:paraId="191FC807">
            <w:pPr>
              <w:jc w:val="center"/>
              <w:rPr>
                <w:rFonts w:ascii="宋体" w:hAnsi="宋体" w:cs="宋体"/>
                <w:color w:val="auto"/>
                <w:sz w:val="16"/>
                <w:szCs w:val="16"/>
                <w:highlight w:val="none"/>
              </w:rPr>
            </w:pPr>
            <w:r>
              <w:rPr>
                <w:rFonts w:hint="eastAsia" w:ascii="宋体" w:hAnsi="宋体" w:cs="宋体"/>
                <w:color w:val="auto"/>
                <w:sz w:val="16"/>
                <w:szCs w:val="16"/>
                <w:highlight w:val="none"/>
              </w:rPr>
              <w:t>&gt;=95%</w:t>
            </w:r>
          </w:p>
        </w:tc>
        <w:tc>
          <w:tcPr>
            <w:tcW w:w="1605" w:type="dxa"/>
            <w:gridSpan w:val="2"/>
            <w:vAlign w:val="center"/>
          </w:tcPr>
          <w:p w14:paraId="43EF4748">
            <w:pPr>
              <w:jc w:val="center"/>
              <w:rPr>
                <w:rFonts w:ascii="宋体" w:hAnsi="宋体" w:cs="宋体"/>
                <w:color w:val="auto"/>
                <w:sz w:val="16"/>
                <w:szCs w:val="16"/>
                <w:highlight w:val="none"/>
              </w:rPr>
            </w:pPr>
            <w:r>
              <w:rPr>
                <w:rFonts w:hint="eastAsia" w:ascii="宋体" w:hAnsi="宋体" w:cs="宋体"/>
                <w:color w:val="auto"/>
                <w:sz w:val="16"/>
                <w:szCs w:val="16"/>
                <w:highlight w:val="none"/>
              </w:rPr>
              <w:t>和地财预〔2023〕号, 2023年度工作计划</w:t>
            </w:r>
          </w:p>
        </w:tc>
        <w:tc>
          <w:tcPr>
            <w:tcW w:w="823" w:type="dxa"/>
            <w:vAlign w:val="center"/>
          </w:tcPr>
          <w:p w14:paraId="3B3D1948">
            <w:pPr>
              <w:jc w:val="center"/>
              <w:rPr>
                <w:rFonts w:ascii="宋体" w:hAnsi="宋体" w:cs="宋体"/>
                <w:color w:val="auto"/>
                <w:sz w:val="16"/>
                <w:szCs w:val="16"/>
                <w:highlight w:val="none"/>
              </w:rPr>
            </w:pPr>
            <w:r>
              <w:rPr>
                <w:rFonts w:hint="eastAsia" w:ascii="宋体" w:hAnsi="宋体" w:cs="宋体"/>
                <w:color w:val="auto"/>
                <w:sz w:val="16"/>
                <w:szCs w:val="16"/>
                <w:highlight w:val="none"/>
              </w:rPr>
              <w:t>20</w:t>
            </w:r>
          </w:p>
        </w:tc>
        <w:tc>
          <w:tcPr>
            <w:tcW w:w="1032" w:type="dxa"/>
            <w:vAlign w:val="center"/>
          </w:tcPr>
          <w:p w14:paraId="590F9890">
            <w:pPr>
              <w:jc w:val="center"/>
              <w:rPr>
                <w:rFonts w:ascii="宋体" w:hAnsi="宋体" w:cs="宋体"/>
                <w:color w:val="auto"/>
                <w:sz w:val="16"/>
                <w:szCs w:val="16"/>
                <w:highlight w:val="none"/>
              </w:rPr>
            </w:pPr>
            <w:r>
              <w:rPr>
                <w:rFonts w:hint="eastAsia" w:ascii="宋体" w:hAnsi="宋体" w:cs="宋体"/>
                <w:color w:val="auto"/>
                <w:sz w:val="16"/>
                <w:szCs w:val="16"/>
                <w:highlight w:val="none"/>
              </w:rPr>
              <w:t>95%</w:t>
            </w:r>
          </w:p>
          <w:p w14:paraId="11650BB5">
            <w:pPr>
              <w:jc w:val="center"/>
              <w:rPr>
                <w:rFonts w:ascii="宋体" w:hAnsi="宋体" w:cs="宋体"/>
                <w:color w:val="auto"/>
                <w:sz w:val="16"/>
                <w:szCs w:val="16"/>
                <w:highlight w:val="none"/>
              </w:rPr>
            </w:pPr>
          </w:p>
        </w:tc>
        <w:tc>
          <w:tcPr>
            <w:tcW w:w="873" w:type="dxa"/>
            <w:vAlign w:val="center"/>
          </w:tcPr>
          <w:p w14:paraId="5CE16C43">
            <w:pPr>
              <w:jc w:val="center"/>
              <w:rPr>
                <w:rFonts w:ascii="宋体" w:hAnsi="宋体" w:cs="宋体"/>
                <w:color w:val="auto"/>
                <w:sz w:val="16"/>
                <w:szCs w:val="16"/>
                <w:highlight w:val="none"/>
              </w:rPr>
            </w:pPr>
            <w:r>
              <w:rPr>
                <w:rFonts w:hint="eastAsia" w:ascii="宋体" w:hAnsi="宋体" w:cs="宋体"/>
                <w:color w:val="auto"/>
                <w:sz w:val="16"/>
                <w:szCs w:val="16"/>
                <w:highlight w:val="none"/>
              </w:rPr>
              <w:t>20</w:t>
            </w:r>
          </w:p>
        </w:tc>
      </w:tr>
      <w:tr w14:paraId="623D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14:paraId="725309D2">
            <w:pPr>
              <w:jc w:val="center"/>
              <w:rPr>
                <w:rFonts w:ascii="宋体" w:hAnsi="宋体" w:cs="宋体"/>
                <w:color w:val="auto"/>
                <w:sz w:val="16"/>
                <w:szCs w:val="16"/>
                <w:highlight w:val="none"/>
              </w:rPr>
            </w:pPr>
            <w:r>
              <w:rPr>
                <w:rFonts w:hint="eastAsia" w:ascii="宋体" w:hAnsi="宋体" w:cs="宋体"/>
                <w:color w:val="auto"/>
                <w:sz w:val="16"/>
                <w:szCs w:val="16"/>
                <w:highlight w:val="none"/>
              </w:rPr>
              <w:t>服务对象满意度</w:t>
            </w:r>
          </w:p>
        </w:tc>
        <w:tc>
          <w:tcPr>
            <w:tcW w:w="1155" w:type="dxa"/>
            <w:gridSpan w:val="3"/>
            <w:vAlign w:val="center"/>
          </w:tcPr>
          <w:p w14:paraId="33C81BBD">
            <w:pPr>
              <w:jc w:val="center"/>
              <w:rPr>
                <w:rFonts w:ascii="宋体" w:hAnsi="宋体" w:cs="宋体"/>
                <w:color w:val="auto"/>
                <w:sz w:val="16"/>
                <w:szCs w:val="16"/>
                <w:highlight w:val="none"/>
              </w:rPr>
            </w:pPr>
            <w:r>
              <w:rPr>
                <w:rFonts w:hint="eastAsia" w:ascii="宋体" w:hAnsi="宋体" w:cs="宋体"/>
                <w:color w:val="auto"/>
                <w:sz w:val="16"/>
                <w:szCs w:val="16"/>
                <w:highlight w:val="none"/>
              </w:rPr>
              <w:t>服务对象满意度</w:t>
            </w:r>
          </w:p>
        </w:tc>
        <w:tc>
          <w:tcPr>
            <w:tcW w:w="1785" w:type="dxa"/>
            <w:gridSpan w:val="2"/>
            <w:vAlign w:val="center"/>
          </w:tcPr>
          <w:p w14:paraId="5ED5AF29">
            <w:pPr>
              <w:jc w:val="center"/>
              <w:rPr>
                <w:rFonts w:ascii="宋体" w:hAnsi="宋体" w:cs="宋体"/>
                <w:color w:val="auto"/>
                <w:sz w:val="16"/>
                <w:szCs w:val="16"/>
                <w:highlight w:val="none"/>
              </w:rPr>
            </w:pPr>
            <w:r>
              <w:rPr>
                <w:rFonts w:hint="eastAsia" w:ascii="宋体" w:hAnsi="宋体" w:cs="宋体"/>
                <w:color w:val="auto"/>
                <w:sz w:val="16"/>
                <w:szCs w:val="16"/>
                <w:highlight w:val="none"/>
              </w:rPr>
              <w:t>客户满意度</w:t>
            </w:r>
          </w:p>
        </w:tc>
        <w:tc>
          <w:tcPr>
            <w:tcW w:w="990" w:type="dxa"/>
            <w:gridSpan w:val="2"/>
            <w:vAlign w:val="center"/>
          </w:tcPr>
          <w:p w14:paraId="0D79613D">
            <w:pPr>
              <w:jc w:val="center"/>
              <w:rPr>
                <w:rFonts w:ascii="宋体" w:hAnsi="宋体" w:cs="宋体"/>
                <w:color w:val="auto"/>
                <w:sz w:val="16"/>
                <w:szCs w:val="16"/>
                <w:highlight w:val="none"/>
              </w:rPr>
            </w:pPr>
            <w:r>
              <w:rPr>
                <w:rFonts w:hint="eastAsia" w:ascii="宋体" w:hAnsi="宋体" w:cs="宋体"/>
                <w:color w:val="auto"/>
                <w:sz w:val="16"/>
                <w:szCs w:val="16"/>
                <w:highlight w:val="none"/>
              </w:rPr>
              <w:t>&gt;=98%</w:t>
            </w:r>
          </w:p>
        </w:tc>
        <w:tc>
          <w:tcPr>
            <w:tcW w:w="1605" w:type="dxa"/>
            <w:gridSpan w:val="2"/>
            <w:vAlign w:val="center"/>
          </w:tcPr>
          <w:p w14:paraId="620C2309">
            <w:pPr>
              <w:jc w:val="center"/>
              <w:rPr>
                <w:rFonts w:ascii="宋体" w:hAnsi="宋体" w:cs="宋体"/>
                <w:color w:val="auto"/>
                <w:sz w:val="16"/>
                <w:szCs w:val="16"/>
                <w:highlight w:val="none"/>
              </w:rPr>
            </w:pPr>
            <w:r>
              <w:rPr>
                <w:rFonts w:hint="eastAsia" w:ascii="宋体" w:hAnsi="宋体" w:cs="宋体"/>
                <w:color w:val="auto"/>
                <w:sz w:val="16"/>
                <w:szCs w:val="16"/>
                <w:highlight w:val="none"/>
              </w:rPr>
              <w:t>和地财预〔2023〕号, 2023年度工作计划</w:t>
            </w:r>
          </w:p>
        </w:tc>
        <w:tc>
          <w:tcPr>
            <w:tcW w:w="823" w:type="dxa"/>
            <w:vAlign w:val="center"/>
          </w:tcPr>
          <w:p w14:paraId="3D5AA9DF">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c>
          <w:tcPr>
            <w:tcW w:w="1032" w:type="dxa"/>
            <w:vAlign w:val="center"/>
          </w:tcPr>
          <w:p w14:paraId="4FBEAE63">
            <w:pPr>
              <w:jc w:val="center"/>
              <w:rPr>
                <w:rFonts w:ascii="宋体" w:hAnsi="宋体" w:cs="宋体"/>
                <w:color w:val="auto"/>
                <w:sz w:val="16"/>
                <w:szCs w:val="16"/>
                <w:highlight w:val="none"/>
              </w:rPr>
            </w:pPr>
            <w:r>
              <w:rPr>
                <w:rFonts w:hint="eastAsia" w:ascii="宋体" w:hAnsi="宋体" w:cs="宋体"/>
                <w:color w:val="auto"/>
                <w:sz w:val="16"/>
                <w:szCs w:val="16"/>
                <w:highlight w:val="none"/>
              </w:rPr>
              <w:t>98%</w:t>
            </w:r>
          </w:p>
          <w:p w14:paraId="114CBEC6">
            <w:pPr>
              <w:jc w:val="center"/>
              <w:rPr>
                <w:rFonts w:ascii="宋体" w:hAnsi="宋体" w:cs="宋体"/>
                <w:color w:val="auto"/>
                <w:sz w:val="16"/>
                <w:szCs w:val="16"/>
                <w:highlight w:val="none"/>
              </w:rPr>
            </w:pPr>
          </w:p>
        </w:tc>
        <w:tc>
          <w:tcPr>
            <w:tcW w:w="873" w:type="dxa"/>
            <w:vAlign w:val="center"/>
          </w:tcPr>
          <w:p w14:paraId="1D3BB060">
            <w:pPr>
              <w:jc w:val="center"/>
              <w:rPr>
                <w:rFonts w:ascii="宋体" w:hAnsi="宋体" w:cs="宋体"/>
                <w:color w:val="auto"/>
                <w:sz w:val="16"/>
                <w:szCs w:val="16"/>
                <w:highlight w:val="none"/>
              </w:rPr>
            </w:pPr>
            <w:r>
              <w:rPr>
                <w:rFonts w:hint="eastAsia" w:ascii="宋体" w:hAnsi="宋体" w:cs="宋体"/>
                <w:color w:val="auto"/>
                <w:sz w:val="16"/>
                <w:szCs w:val="16"/>
                <w:highlight w:val="none"/>
              </w:rPr>
              <w:t>10</w:t>
            </w:r>
          </w:p>
        </w:tc>
      </w:tr>
    </w:tbl>
    <w:p w14:paraId="1EA5EFA3">
      <w:pPr>
        <w:rPr>
          <w:rFonts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br w:type="page"/>
      </w:r>
    </w:p>
    <w:p w14:paraId="06AB171D">
      <w:pPr>
        <w:rPr>
          <w:rFonts w:ascii="黑体" w:hAnsi="黑体" w:eastAsia="黑体"/>
          <w:color w:val="auto"/>
          <w:sz w:val="32"/>
          <w:szCs w:val="32"/>
          <w:highlight w:val="none"/>
        </w:rPr>
      </w:pPr>
    </w:p>
    <w:tbl>
      <w:tblPr>
        <w:tblStyle w:val="10"/>
        <w:tblW w:w="10051" w:type="dxa"/>
        <w:jc w:val="center"/>
        <w:tblLayout w:type="fixed"/>
        <w:tblCellMar>
          <w:top w:w="0" w:type="dxa"/>
          <w:left w:w="108" w:type="dxa"/>
          <w:bottom w:w="0" w:type="dxa"/>
          <w:right w:w="108" w:type="dxa"/>
        </w:tblCellMar>
      </w:tblPr>
      <w:tblGrid>
        <w:gridCol w:w="731"/>
        <w:gridCol w:w="851"/>
        <w:gridCol w:w="1157"/>
        <w:gridCol w:w="1518"/>
        <w:gridCol w:w="1578"/>
        <w:gridCol w:w="1275"/>
        <w:gridCol w:w="971"/>
        <w:gridCol w:w="976"/>
        <w:gridCol w:w="994"/>
      </w:tblGrid>
      <w:tr w14:paraId="2603B896">
        <w:tblPrEx>
          <w:tblCellMar>
            <w:top w:w="0" w:type="dxa"/>
            <w:left w:w="108" w:type="dxa"/>
            <w:bottom w:w="0" w:type="dxa"/>
            <w:right w:w="108" w:type="dxa"/>
          </w:tblCellMar>
        </w:tblPrEx>
        <w:trPr>
          <w:cantSplit/>
          <w:jc w:val="center"/>
        </w:trPr>
        <w:tc>
          <w:tcPr>
            <w:tcW w:w="10051" w:type="dxa"/>
            <w:gridSpan w:val="9"/>
            <w:tcBorders>
              <w:top w:val="nil"/>
              <w:left w:val="nil"/>
              <w:bottom w:val="nil"/>
              <w:right w:val="nil"/>
            </w:tcBorders>
            <w:shd w:val="clear" w:color="auto" w:fill="auto"/>
            <w:vAlign w:val="center"/>
          </w:tcPr>
          <w:p w14:paraId="101580EA">
            <w:pPr>
              <w:widowControl/>
              <w:jc w:val="center"/>
              <w:rPr>
                <w:rFonts w:ascii="宋体" w:hAnsi="宋体" w:cs="宋体"/>
                <w:b/>
                <w:bCs/>
                <w:color w:val="auto"/>
                <w:kern w:val="0"/>
                <w:sz w:val="32"/>
                <w:szCs w:val="32"/>
                <w:highlight w:val="none"/>
              </w:rPr>
            </w:pPr>
            <w:r>
              <w:rPr>
                <w:rFonts w:hint="eastAsia" w:ascii="仿宋_GB2312" w:hAnsi="宋体" w:eastAsia="仿宋_GB2312" w:cs="仿宋_GB2312"/>
                <w:b/>
                <w:color w:val="auto"/>
                <w:kern w:val="0"/>
                <w:sz w:val="24"/>
                <w:highlight w:val="none"/>
                <w:lang w:bidi="ar"/>
              </w:rPr>
              <w:t>项  目  支  出  绩  效  自  评  表</w:t>
            </w:r>
          </w:p>
        </w:tc>
      </w:tr>
      <w:tr w14:paraId="507A941C">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14:paraId="394BF52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(2023年度)</w:t>
            </w:r>
          </w:p>
        </w:tc>
      </w:tr>
      <w:tr w14:paraId="18921869">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17A2B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14:paraId="0450CD1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检验检测业务经费</w:t>
            </w:r>
          </w:p>
        </w:tc>
      </w:tr>
      <w:tr w14:paraId="5A315C55">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FE428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主管部门</w:t>
            </w:r>
          </w:p>
        </w:tc>
        <w:tc>
          <w:tcPr>
            <w:tcW w:w="2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DFFB0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和田地区质量与计量检测所</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2D79A7F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实施单位</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09BAD8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和田地区质量与计量检测所</w:t>
            </w:r>
          </w:p>
        </w:tc>
      </w:tr>
      <w:tr w14:paraId="7CB76AB6">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E3122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项目资金</w:t>
            </w:r>
          </w:p>
          <w:p w14:paraId="62E13C2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（万元）</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2DC17534">
            <w:pPr>
              <w:widowControl/>
              <w:jc w:val="center"/>
              <w:rPr>
                <w:rFonts w:ascii="宋体" w:hAnsi="宋体" w:cs="宋体"/>
                <w:color w:val="auto"/>
                <w:kern w:val="0"/>
                <w:sz w:val="20"/>
                <w:szCs w:val="20"/>
                <w:highlight w:val="none"/>
              </w:rPr>
            </w:pP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04E9266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年初预算数</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22DFBC0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全年预算数</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EC425B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全年执行数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1C3249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分值</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1232AA4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执行率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2E9334B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得分</w:t>
            </w:r>
          </w:p>
        </w:tc>
      </w:tr>
      <w:tr w14:paraId="3FBC46F2">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36BFF0A9">
            <w:pPr>
              <w:widowControl/>
              <w:jc w:val="left"/>
              <w:rPr>
                <w:rFonts w:ascii="宋体" w:hAnsi="宋体" w:cs="宋体"/>
                <w:color w:val="auto"/>
                <w:kern w:val="0"/>
                <w:sz w:val="20"/>
                <w:szCs w:val="20"/>
                <w:highlight w:val="none"/>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2B01163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年度资金总额</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40E19FE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49124DC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120.78</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692F19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120.78</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FAC6A8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06527D3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 xml:space="preserve">100.00% </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6DA6B21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10.00分</w:t>
            </w:r>
          </w:p>
        </w:tc>
      </w:tr>
      <w:tr w14:paraId="070EB39A">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429CD31D">
            <w:pPr>
              <w:widowControl/>
              <w:jc w:val="left"/>
              <w:rPr>
                <w:rFonts w:ascii="宋体" w:hAnsi="宋体" w:cs="宋体"/>
                <w:color w:val="auto"/>
                <w:kern w:val="0"/>
                <w:sz w:val="20"/>
                <w:szCs w:val="20"/>
                <w:highlight w:val="none"/>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24D5D76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其中：当年财政拨款</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433890B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490F3DA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120.78</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BEB12D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120.78</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CB2034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4B54D9D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67B663D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r>
      <w:tr w14:paraId="6B15538A">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506B1297">
            <w:pPr>
              <w:widowControl/>
              <w:jc w:val="left"/>
              <w:rPr>
                <w:rFonts w:ascii="宋体" w:hAnsi="宋体" w:cs="宋体"/>
                <w:color w:val="auto"/>
                <w:kern w:val="0"/>
                <w:sz w:val="20"/>
                <w:szCs w:val="20"/>
                <w:highlight w:val="none"/>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13A3048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 xml:space="preserve">      上年结转资金</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02DDF85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1CA261F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6B65A4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DE91BE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0A7AAAC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1BF3AA9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r>
      <w:tr w14:paraId="3655BDF3">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5CC588C9">
            <w:pPr>
              <w:widowControl/>
              <w:jc w:val="left"/>
              <w:rPr>
                <w:rFonts w:ascii="宋体" w:hAnsi="宋体" w:cs="宋体"/>
                <w:color w:val="auto"/>
                <w:kern w:val="0"/>
                <w:sz w:val="20"/>
                <w:szCs w:val="20"/>
                <w:highlight w:val="none"/>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2855671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 xml:space="preserve">  其他资金</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4B5FB9A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32C0CFA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EF4D18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70C7CA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64F6969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0A917D3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r>
      <w:tr w14:paraId="1734F1BD">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4EDD13">
            <w:pPr>
              <w:jc w:val="center"/>
              <w:rPr>
                <w:color w:val="auto"/>
                <w:highlight w:val="none"/>
              </w:rPr>
            </w:pPr>
            <w:r>
              <w:rPr>
                <w:color w:val="auto"/>
                <w:sz w:val="20"/>
                <w:highlight w:val="none"/>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14:paraId="7CA9E45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14:paraId="3E0C638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实际完成情况</w:t>
            </w:r>
          </w:p>
        </w:tc>
      </w:tr>
      <w:tr w14:paraId="725275C3">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4D2E85CF">
            <w:pPr>
              <w:widowControl/>
              <w:jc w:val="left"/>
              <w:rPr>
                <w:rFonts w:ascii="宋体" w:hAnsi="宋体" w:cs="宋体"/>
                <w:color w:val="auto"/>
                <w:kern w:val="0"/>
                <w:sz w:val="20"/>
                <w:szCs w:val="20"/>
                <w:highlight w:val="none"/>
              </w:rPr>
            </w:pPr>
          </w:p>
        </w:tc>
        <w:tc>
          <w:tcPr>
            <w:tcW w:w="51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E59E35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项目资金120.78万元，其中：财政资金120.78万元，其他资金0 万元。1、50%以上专业技术人员的培训费及差旅费用；2、和田地区质量与计量检测所和田县检测中心招录临聘人员；3、和田地区质量与计量检测所和田县检测中心水、电费；4、</w:t>
            </w:r>
            <w:r>
              <w:rPr>
                <w:rFonts w:hint="eastAsia" w:ascii="宋体" w:hAnsi="宋体" w:cs="宋体"/>
                <w:color w:val="auto"/>
                <w:kern w:val="0"/>
                <w:sz w:val="20"/>
                <w:szCs w:val="20"/>
                <w:highlight w:val="none"/>
                <w:lang w:eastAsia="zh-CN"/>
              </w:rPr>
              <w:t>风险监测站费</w:t>
            </w:r>
            <w:bookmarkStart w:id="50" w:name="_GoBack"/>
            <w:bookmarkEnd w:id="50"/>
            <w:r>
              <w:rPr>
                <w:rFonts w:hint="eastAsia" w:ascii="宋体" w:hAnsi="宋体" w:cs="宋体"/>
                <w:color w:val="auto"/>
                <w:kern w:val="0"/>
                <w:sz w:val="20"/>
                <w:szCs w:val="20"/>
                <w:highlight w:val="none"/>
                <w:lang w:eastAsia="zh-CN"/>
              </w:rPr>
              <w:t>用</w:t>
            </w:r>
            <w:r>
              <w:rPr>
                <w:rFonts w:hint="eastAsia" w:ascii="宋体" w:hAnsi="宋体" w:cs="宋体"/>
                <w:color w:val="auto"/>
                <w:kern w:val="0"/>
                <w:sz w:val="20"/>
                <w:szCs w:val="20"/>
                <w:highlight w:val="none"/>
              </w:rPr>
              <w:t>；用于保障正常开展质量与计量检测工作，</w:t>
            </w:r>
            <w:r>
              <w:rPr>
                <w:rFonts w:hint="eastAsia" w:ascii="宋体" w:hAnsi="宋体" w:cs="宋体"/>
                <w:color w:val="auto"/>
                <w:kern w:val="0"/>
                <w:sz w:val="20"/>
                <w:szCs w:val="20"/>
                <w:highlight w:val="none"/>
                <w:lang w:eastAsia="zh-CN"/>
              </w:rPr>
              <w:t>更好地承担</w:t>
            </w:r>
            <w:r>
              <w:rPr>
                <w:rFonts w:hint="eastAsia" w:ascii="宋体" w:hAnsi="宋体" w:cs="宋体"/>
                <w:color w:val="auto"/>
                <w:kern w:val="0"/>
                <w:sz w:val="20"/>
                <w:szCs w:val="20"/>
                <w:highlight w:val="none"/>
              </w:rPr>
              <w:t>全地区医疗卫生、安全防护、环境监测、贸易结算等领域计量器具的检定、校准工作，使全地区计量器具受检率达95%以上。在质检工作方面，年检验各类产品质量3000多批次，为我地区经济社会发展做出了积极贡献。</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C6D262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截</w:t>
            </w:r>
            <w:r>
              <w:rPr>
                <w:rFonts w:hint="eastAsia" w:ascii="宋体" w:hAnsi="宋体" w:cs="宋体"/>
                <w:color w:val="auto"/>
                <w:kern w:val="0"/>
                <w:sz w:val="20"/>
                <w:szCs w:val="20"/>
                <w:highlight w:val="none"/>
                <w:lang w:eastAsia="zh-CN"/>
              </w:rPr>
              <w:t>至</w:t>
            </w:r>
            <w:r>
              <w:rPr>
                <w:rFonts w:hint="eastAsia" w:ascii="宋体" w:hAnsi="宋体" w:cs="宋体"/>
                <w:color w:val="auto"/>
                <w:kern w:val="0"/>
                <w:sz w:val="20"/>
                <w:szCs w:val="20"/>
                <w:highlight w:val="none"/>
              </w:rPr>
              <w:t>2023年12月31日，项目实际支出120.78万元。已完成参加专业技术培训人员24人，检验检测数量</w:t>
            </w:r>
            <w:r>
              <w:rPr>
                <w:rFonts w:ascii="宋体" w:hAnsi="宋体" w:cs="宋体"/>
                <w:color w:val="auto"/>
                <w:kern w:val="0"/>
                <w:sz w:val="20"/>
                <w:szCs w:val="20"/>
                <w:highlight w:val="none"/>
              </w:rPr>
              <w:tab/>
            </w:r>
            <w:r>
              <w:rPr>
                <w:rFonts w:ascii="宋体" w:hAnsi="宋体" w:cs="宋体"/>
                <w:color w:val="auto"/>
                <w:kern w:val="0"/>
                <w:sz w:val="20"/>
                <w:szCs w:val="20"/>
                <w:highlight w:val="none"/>
              </w:rPr>
              <w:t>87000个。达到了保障本地区各类食品质量安全以及计量工具准确性的效益，受益对象满意度达到100%。</w:t>
            </w:r>
          </w:p>
        </w:tc>
      </w:tr>
      <w:tr w14:paraId="5141072B">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441357">
            <w:pPr>
              <w:jc w:val="center"/>
              <w:rPr>
                <w:color w:val="auto"/>
                <w:highlight w:val="none"/>
              </w:rPr>
            </w:p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886F4D">
            <w:pPr>
              <w:jc w:val="center"/>
              <w:rPr>
                <w:color w:val="auto"/>
                <w:highlight w:val="none"/>
              </w:rPr>
            </w:pPr>
            <w:r>
              <w:rPr>
                <w:color w:val="auto"/>
                <w:sz w:val="20"/>
                <w:highlight w:val="none"/>
              </w:rPr>
              <w:t>一级指标</w:t>
            </w:r>
          </w:p>
        </w:tc>
        <w:tc>
          <w:tcPr>
            <w:tcW w:w="11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67B6E5">
            <w:pPr>
              <w:jc w:val="center"/>
              <w:rPr>
                <w:color w:val="auto"/>
                <w:highlight w:val="none"/>
              </w:rPr>
            </w:pPr>
            <w:r>
              <w:rPr>
                <w:color w:val="auto"/>
                <w:sz w:val="20"/>
                <w:highlight w:val="none"/>
              </w:rPr>
              <w:t>二级指标</w:t>
            </w:r>
          </w:p>
        </w:tc>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757EE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三级指标</w:t>
            </w:r>
          </w:p>
        </w:tc>
        <w:tc>
          <w:tcPr>
            <w:tcW w:w="15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96FF2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年度指标值</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B116D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59D82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48ABB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D8DD8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偏差原因分析及改进措施</w:t>
            </w:r>
          </w:p>
        </w:tc>
      </w:tr>
      <w:tr w14:paraId="7BC0A508">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324779DA">
            <w:pPr>
              <w:widowControl/>
              <w:jc w:val="left"/>
              <w:rPr>
                <w:rFonts w:ascii="宋体" w:hAnsi="宋体" w:cs="宋体"/>
                <w:color w:val="auto"/>
                <w:kern w:val="0"/>
                <w:sz w:val="20"/>
                <w:szCs w:val="20"/>
                <w:highlight w:val="none"/>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07A2992B">
            <w:pPr>
              <w:widowControl/>
              <w:jc w:val="left"/>
              <w:rPr>
                <w:rFonts w:ascii="宋体" w:hAnsi="宋体" w:cs="宋体"/>
                <w:color w:val="auto"/>
                <w:kern w:val="0"/>
                <w:sz w:val="20"/>
                <w:szCs w:val="20"/>
                <w:highlight w:val="none"/>
              </w:rPr>
            </w:pPr>
          </w:p>
        </w:tc>
        <w:tc>
          <w:tcPr>
            <w:tcW w:w="1157" w:type="dxa"/>
            <w:vMerge w:val="continue"/>
            <w:tcBorders>
              <w:top w:val="single" w:color="auto" w:sz="4" w:space="0"/>
              <w:left w:val="single" w:color="auto" w:sz="4" w:space="0"/>
              <w:bottom w:val="single" w:color="auto" w:sz="4" w:space="0"/>
              <w:right w:val="single" w:color="auto" w:sz="4" w:space="0"/>
            </w:tcBorders>
            <w:vAlign w:val="center"/>
          </w:tcPr>
          <w:p w14:paraId="4CCC5F2C">
            <w:pPr>
              <w:widowControl/>
              <w:jc w:val="left"/>
              <w:rPr>
                <w:rFonts w:ascii="宋体" w:hAnsi="宋体" w:cs="宋体"/>
                <w:color w:val="auto"/>
                <w:kern w:val="0"/>
                <w:sz w:val="20"/>
                <w:szCs w:val="20"/>
                <w:highlight w:val="none"/>
              </w:rPr>
            </w:pPr>
          </w:p>
        </w:tc>
        <w:tc>
          <w:tcPr>
            <w:tcW w:w="1518" w:type="dxa"/>
            <w:vMerge w:val="continue"/>
            <w:tcBorders>
              <w:top w:val="single" w:color="auto" w:sz="4" w:space="0"/>
              <w:left w:val="single" w:color="auto" w:sz="4" w:space="0"/>
              <w:bottom w:val="single" w:color="auto" w:sz="4" w:space="0"/>
              <w:right w:val="single" w:color="auto" w:sz="4" w:space="0"/>
            </w:tcBorders>
            <w:vAlign w:val="center"/>
          </w:tcPr>
          <w:p w14:paraId="375D23C3">
            <w:pPr>
              <w:widowControl/>
              <w:jc w:val="left"/>
              <w:rPr>
                <w:rFonts w:ascii="宋体" w:hAnsi="宋体" w:cs="宋体"/>
                <w:color w:val="auto"/>
                <w:kern w:val="0"/>
                <w:sz w:val="20"/>
                <w:szCs w:val="20"/>
                <w:highlight w:val="none"/>
              </w:rPr>
            </w:pPr>
          </w:p>
        </w:tc>
        <w:tc>
          <w:tcPr>
            <w:tcW w:w="1578" w:type="dxa"/>
            <w:vMerge w:val="continue"/>
            <w:tcBorders>
              <w:top w:val="single" w:color="auto" w:sz="4" w:space="0"/>
              <w:left w:val="single" w:color="auto" w:sz="4" w:space="0"/>
              <w:bottom w:val="single" w:color="auto" w:sz="4" w:space="0"/>
              <w:right w:val="single" w:color="auto" w:sz="4" w:space="0"/>
            </w:tcBorders>
            <w:vAlign w:val="center"/>
          </w:tcPr>
          <w:p w14:paraId="749255BC">
            <w:pPr>
              <w:widowControl/>
              <w:jc w:val="left"/>
              <w:rPr>
                <w:rFonts w:ascii="宋体" w:hAnsi="宋体" w:cs="宋体"/>
                <w:color w:val="auto"/>
                <w:kern w:val="0"/>
                <w:sz w:val="20"/>
                <w:szCs w:val="20"/>
                <w:highlight w:val="none"/>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14:paraId="4AE3F5B0">
            <w:pPr>
              <w:widowControl/>
              <w:jc w:val="left"/>
              <w:rPr>
                <w:rFonts w:ascii="宋体" w:hAnsi="宋体" w:cs="宋体"/>
                <w:color w:val="auto"/>
                <w:kern w:val="0"/>
                <w:sz w:val="20"/>
                <w:szCs w:val="20"/>
                <w:highlight w:val="none"/>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14:paraId="084F39CD">
            <w:pPr>
              <w:widowControl/>
              <w:jc w:val="left"/>
              <w:rPr>
                <w:rFonts w:ascii="宋体" w:hAnsi="宋体" w:cs="宋体"/>
                <w:color w:val="auto"/>
                <w:kern w:val="0"/>
                <w:sz w:val="20"/>
                <w:szCs w:val="20"/>
                <w:highlight w:val="none"/>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14:paraId="2106EF9E">
            <w:pPr>
              <w:widowControl/>
              <w:jc w:val="left"/>
              <w:rPr>
                <w:rFonts w:ascii="宋体" w:hAnsi="宋体" w:cs="宋体"/>
                <w:color w:val="auto"/>
                <w:kern w:val="0"/>
                <w:sz w:val="20"/>
                <w:szCs w:val="20"/>
                <w:highlight w:val="none"/>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14:paraId="31F6A4A4">
            <w:pPr>
              <w:widowControl/>
              <w:jc w:val="left"/>
              <w:rPr>
                <w:rFonts w:ascii="宋体" w:hAnsi="宋体" w:cs="宋体"/>
                <w:color w:val="auto"/>
                <w:kern w:val="0"/>
                <w:sz w:val="20"/>
                <w:szCs w:val="20"/>
                <w:highlight w:val="none"/>
              </w:rPr>
            </w:pPr>
          </w:p>
        </w:tc>
      </w:tr>
      <w:tr w14:paraId="55C8829E">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9A0B7E">
            <w:pPr>
              <w:jc w:val="center"/>
              <w:rPr>
                <w:color w:val="auto"/>
                <w:highlight w:val="none"/>
              </w:rPr>
            </w:pPr>
            <w:r>
              <w:rPr>
                <w:color w:val="auto"/>
                <w:sz w:val="20"/>
                <w:highlight w:val="none"/>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3B62F1">
            <w:pPr>
              <w:jc w:val="center"/>
              <w:rPr>
                <w:color w:val="auto"/>
                <w:highlight w:val="none"/>
              </w:rPr>
            </w:pPr>
            <w:r>
              <w:rPr>
                <w:color w:val="auto"/>
                <w:sz w:val="20"/>
                <w:highlight w:val="none"/>
              </w:rPr>
              <w:t>产出指标</w:t>
            </w:r>
          </w:p>
        </w:tc>
        <w:tc>
          <w:tcPr>
            <w:tcW w:w="11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43371C">
            <w:pPr>
              <w:jc w:val="center"/>
              <w:rPr>
                <w:color w:val="auto"/>
                <w:highlight w:val="none"/>
              </w:rPr>
            </w:pPr>
            <w:r>
              <w:rPr>
                <w:color w:val="auto"/>
                <w:sz w:val="20"/>
                <w:highlight w:val="none"/>
              </w:rPr>
              <w:t>数量指标</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4B70D76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参加专业技术培训人员数</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1937F9F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&gt;=24人</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64A2C8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=24人</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987F24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386C02B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31AF40EC">
            <w:pPr>
              <w:widowControl/>
              <w:jc w:val="center"/>
              <w:rPr>
                <w:rFonts w:ascii="宋体" w:hAnsi="宋体" w:cs="宋体"/>
                <w:color w:val="auto"/>
                <w:kern w:val="0"/>
                <w:sz w:val="20"/>
                <w:szCs w:val="20"/>
                <w:highlight w:val="none"/>
              </w:rPr>
            </w:pPr>
          </w:p>
        </w:tc>
      </w:tr>
      <w:tr w14:paraId="193286CE">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C56936">
            <w:pPr>
              <w:rPr>
                <w:color w:val="auto"/>
                <w:highlight w:val="none"/>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30C8CF">
            <w:pPr>
              <w:rPr>
                <w:color w:val="auto"/>
                <w:highlight w:val="none"/>
              </w:rPr>
            </w:pPr>
          </w:p>
        </w:tc>
        <w:tc>
          <w:tcPr>
            <w:tcW w:w="11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B1B099">
            <w:pPr>
              <w:rPr>
                <w:color w:val="auto"/>
                <w:highlight w:val="none"/>
              </w:rPr>
            </w:pP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209ECB0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检验检测数量</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57EAB6C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&gt;=10000个</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B72030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=87000个</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881444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56EC940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7E5E7263">
            <w:pPr>
              <w:widowControl/>
              <w:jc w:val="center"/>
              <w:rPr>
                <w:rFonts w:ascii="宋体" w:hAnsi="宋体" w:cs="宋体"/>
                <w:color w:val="auto"/>
                <w:kern w:val="0"/>
                <w:sz w:val="20"/>
                <w:szCs w:val="20"/>
                <w:highlight w:val="none"/>
              </w:rPr>
            </w:pPr>
          </w:p>
        </w:tc>
      </w:tr>
      <w:tr w14:paraId="49639E23">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2B945A">
            <w:pPr>
              <w:rPr>
                <w:color w:val="auto"/>
                <w:highlight w:val="none"/>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33B861">
            <w:pPr>
              <w:rPr>
                <w:color w:val="auto"/>
                <w:highlight w:val="none"/>
              </w:rPr>
            </w:pPr>
          </w:p>
        </w:tc>
        <w:tc>
          <w:tcPr>
            <w:tcW w:w="11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89BBC8">
            <w:pPr>
              <w:jc w:val="center"/>
              <w:rPr>
                <w:color w:val="auto"/>
                <w:highlight w:val="none"/>
              </w:rPr>
            </w:pPr>
            <w:r>
              <w:rPr>
                <w:color w:val="auto"/>
                <w:sz w:val="20"/>
                <w:highlight w:val="none"/>
              </w:rPr>
              <w:t>质量指标</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40D7102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检验检测合格率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045B8D4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91FFBA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4359BE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1A045FE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7B1BBEC0">
            <w:pPr>
              <w:widowControl/>
              <w:jc w:val="center"/>
              <w:rPr>
                <w:rFonts w:ascii="宋体" w:hAnsi="宋体" w:cs="宋体"/>
                <w:color w:val="auto"/>
                <w:kern w:val="0"/>
                <w:sz w:val="20"/>
                <w:szCs w:val="20"/>
                <w:highlight w:val="none"/>
              </w:rPr>
            </w:pPr>
          </w:p>
        </w:tc>
      </w:tr>
      <w:tr w14:paraId="6BC79A87">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796672">
            <w:pPr>
              <w:rPr>
                <w:color w:val="auto"/>
                <w:highlight w:val="none"/>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9B215BB">
            <w:pPr>
              <w:rPr>
                <w:color w:val="auto"/>
                <w:highlight w:val="none"/>
              </w:rPr>
            </w:pPr>
          </w:p>
        </w:tc>
        <w:tc>
          <w:tcPr>
            <w:tcW w:w="11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5B70B9">
            <w:pPr>
              <w:rPr>
                <w:color w:val="auto"/>
                <w:highlight w:val="none"/>
              </w:rPr>
            </w:pP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31A9F8B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参加培训人员合格率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4379DB7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9280FB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B89B61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79D7426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4ACAFB38">
            <w:pPr>
              <w:widowControl/>
              <w:jc w:val="center"/>
              <w:rPr>
                <w:rFonts w:ascii="宋体" w:hAnsi="宋体" w:cs="宋体"/>
                <w:color w:val="auto"/>
                <w:kern w:val="0"/>
                <w:sz w:val="20"/>
                <w:szCs w:val="20"/>
                <w:highlight w:val="none"/>
              </w:rPr>
            </w:pPr>
          </w:p>
        </w:tc>
      </w:tr>
      <w:tr w14:paraId="11D8BA62">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43FE52">
            <w:pPr>
              <w:rPr>
                <w:color w:val="auto"/>
                <w:highlight w:val="none"/>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5C1E5A">
            <w:pPr>
              <w:rPr>
                <w:color w:val="auto"/>
                <w:highlight w:val="none"/>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69852B8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时效指标</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74394AE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项目完成时间</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3BB12D4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2023年12月31日之前</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23E12E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2023年12月31日</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AA0F4A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72BAA8D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277661D3">
            <w:pPr>
              <w:widowControl/>
              <w:jc w:val="center"/>
              <w:rPr>
                <w:rFonts w:ascii="宋体" w:hAnsi="宋体" w:cs="宋体"/>
                <w:color w:val="auto"/>
                <w:kern w:val="0"/>
                <w:sz w:val="20"/>
                <w:szCs w:val="20"/>
                <w:highlight w:val="none"/>
              </w:rPr>
            </w:pPr>
          </w:p>
        </w:tc>
      </w:tr>
      <w:tr w14:paraId="1989F9C3">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B6017E">
            <w:pPr>
              <w:rPr>
                <w:color w:val="auto"/>
                <w:highlight w:val="none"/>
              </w:rPr>
            </w:p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50E216">
            <w:pPr>
              <w:jc w:val="center"/>
              <w:rPr>
                <w:color w:val="auto"/>
                <w:highlight w:val="none"/>
              </w:rPr>
            </w:pPr>
            <w:r>
              <w:rPr>
                <w:color w:val="auto"/>
                <w:sz w:val="20"/>
                <w:highlight w:val="none"/>
              </w:rPr>
              <w:t>成本指标</w:t>
            </w:r>
          </w:p>
        </w:tc>
        <w:tc>
          <w:tcPr>
            <w:tcW w:w="11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595BE9">
            <w:pPr>
              <w:jc w:val="center"/>
              <w:rPr>
                <w:color w:val="auto"/>
                <w:highlight w:val="none"/>
              </w:rPr>
            </w:pPr>
            <w:r>
              <w:rPr>
                <w:color w:val="auto"/>
                <w:sz w:val="20"/>
                <w:highlight w:val="none"/>
              </w:rPr>
              <w:t>经济成本指标</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57A6ABE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参加培训人员培训费及差旅费</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0BFA87A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&lt;=20万元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E3B27D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=20万元</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CA98BF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03D3895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46AAE4BC">
            <w:pPr>
              <w:widowControl/>
              <w:jc w:val="center"/>
              <w:rPr>
                <w:rFonts w:ascii="宋体" w:hAnsi="宋体" w:cs="宋体"/>
                <w:color w:val="auto"/>
                <w:kern w:val="0"/>
                <w:sz w:val="20"/>
                <w:szCs w:val="20"/>
                <w:highlight w:val="none"/>
              </w:rPr>
            </w:pPr>
          </w:p>
        </w:tc>
      </w:tr>
      <w:tr w14:paraId="7ED7DCD0">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48FD4F">
            <w:pPr>
              <w:rPr>
                <w:color w:val="auto"/>
                <w:highlight w:val="none"/>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9A971C">
            <w:pPr>
              <w:rPr>
                <w:color w:val="auto"/>
                <w:highlight w:val="none"/>
              </w:rPr>
            </w:pPr>
          </w:p>
        </w:tc>
        <w:tc>
          <w:tcPr>
            <w:tcW w:w="11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513D72">
            <w:pPr>
              <w:rPr>
                <w:color w:val="auto"/>
                <w:highlight w:val="none"/>
              </w:rPr>
            </w:pP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DE263C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临聘人员工资、办公费以及其他单位运转费</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58E91A2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&lt;=100.78万元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101A19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=100.78万元</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41827F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15</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788B815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15.00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237DC5EA">
            <w:pPr>
              <w:widowControl/>
              <w:jc w:val="center"/>
              <w:rPr>
                <w:rFonts w:ascii="宋体" w:hAnsi="宋体" w:cs="宋体"/>
                <w:color w:val="auto"/>
                <w:kern w:val="0"/>
                <w:sz w:val="20"/>
                <w:szCs w:val="20"/>
                <w:highlight w:val="none"/>
              </w:rPr>
            </w:pPr>
          </w:p>
        </w:tc>
      </w:tr>
      <w:tr w14:paraId="3BA21C2C">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2E31E1">
            <w:pPr>
              <w:rPr>
                <w:color w:val="auto"/>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93F669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效益指标</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73C9FA1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社会效益指标</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0626BAC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保障本地区各类食品质量安全以及计量工具准确性</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15360E7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长期保障</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C232B7C">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基本达成目标</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C13031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468C043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0267D0BE">
            <w:pPr>
              <w:widowControl/>
              <w:jc w:val="center"/>
              <w:rPr>
                <w:rFonts w:ascii="宋体" w:hAnsi="宋体" w:cs="宋体"/>
                <w:color w:val="auto"/>
                <w:kern w:val="0"/>
                <w:sz w:val="20"/>
                <w:szCs w:val="20"/>
                <w:highlight w:val="none"/>
              </w:rPr>
            </w:pPr>
          </w:p>
        </w:tc>
      </w:tr>
      <w:tr w14:paraId="4714F1BA">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A55250">
            <w:pPr>
              <w:rPr>
                <w:color w:val="auto"/>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C1C96D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满意度指标</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5FBF918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满意度指标</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597D02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受益群众满意度（%）</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14:paraId="1FEA8FC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34BAED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02246F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3602B0D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3017AB99">
            <w:pPr>
              <w:widowControl/>
              <w:jc w:val="center"/>
              <w:rPr>
                <w:rFonts w:ascii="宋体" w:hAnsi="宋体" w:cs="宋体"/>
                <w:color w:val="auto"/>
                <w:kern w:val="0"/>
                <w:sz w:val="20"/>
                <w:szCs w:val="20"/>
                <w:highlight w:val="none"/>
              </w:rPr>
            </w:pPr>
          </w:p>
        </w:tc>
      </w:tr>
      <w:tr w14:paraId="1EE7F606">
        <w:tblPrEx>
          <w:tblCellMar>
            <w:top w:w="0" w:type="dxa"/>
            <w:left w:w="108" w:type="dxa"/>
            <w:bottom w:w="0" w:type="dxa"/>
            <w:right w:w="108" w:type="dxa"/>
          </w:tblCellMar>
        </w:tblPrEx>
        <w:trPr>
          <w:cantSplit/>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2A660E5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14:paraId="5A0914D7">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14:paraId="0483A08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100分</w:t>
            </w:r>
          </w:p>
        </w:tc>
        <w:tc>
          <w:tcPr>
            <w:tcW w:w="994" w:type="dxa"/>
            <w:tcBorders>
              <w:top w:val="single" w:color="auto" w:sz="4" w:space="0"/>
              <w:left w:val="nil"/>
              <w:bottom w:val="single" w:color="auto" w:sz="4" w:space="0"/>
              <w:right w:val="single" w:color="auto" w:sz="4" w:space="0"/>
            </w:tcBorders>
            <w:shd w:val="clear" w:color="auto" w:fill="auto"/>
            <w:vAlign w:val="center"/>
          </w:tcPr>
          <w:p w14:paraId="5AD6262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bl>
    <w:p w14:paraId="04696BB6">
      <w:pPr>
        <w:rPr>
          <w:rFonts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br w:type="page"/>
      </w:r>
      <w:r>
        <w:rPr>
          <w:rFonts w:hint="eastAsia" w:ascii="黑体" w:hAnsi="黑体" w:eastAsia="黑体" w:cs="宋体"/>
          <w:bCs/>
          <w:color w:val="auto"/>
          <w:kern w:val="0"/>
          <w:sz w:val="32"/>
          <w:szCs w:val="32"/>
          <w:highlight w:val="none"/>
        </w:rPr>
        <w:t>十二、</w:t>
      </w:r>
      <w:bookmarkStart w:id="34" w:name="OLE_LINK1"/>
      <w:r>
        <w:rPr>
          <w:rFonts w:hint="eastAsia" w:ascii="黑体" w:hAnsi="黑体" w:eastAsia="黑体" w:cs="宋体"/>
          <w:bCs/>
          <w:color w:val="auto"/>
          <w:kern w:val="0"/>
          <w:sz w:val="32"/>
          <w:szCs w:val="32"/>
          <w:highlight w:val="none"/>
        </w:rPr>
        <w:t>其他需说明的事项</w:t>
      </w:r>
      <w:bookmarkEnd w:id="34"/>
    </w:p>
    <w:p w14:paraId="22940899">
      <w:pPr>
        <w:ind w:firstLine="640" w:firstLineChars="200"/>
        <w:rPr>
          <w:rFonts w:ascii="仿宋_GB2312" w:eastAsia="仿宋_GB2312"/>
          <w:color w:val="auto"/>
          <w:sz w:val="32"/>
          <w:szCs w:val="32"/>
          <w:highlight w:val="none"/>
        </w:rPr>
      </w:pPr>
      <w:bookmarkStart w:id="35" w:name="OLE_LINK2"/>
      <w:r>
        <w:rPr>
          <w:rFonts w:hint="eastAsia" w:ascii="仿宋_GB2312" w:eastAsia="仿宋_GB2312"/>
          <w:color w:val="auto"/>
          <w:sz w:val="32"/>
          <w:szCs w:val="32"/>
          <w:highlight w:val="none"/>
        </w:rPr>
        <w:t>无其他说明事项。</w:t>
      </w:r>
    </w:p>
    <w:bookmarkEnd w:id="35"/>
    <w:p w14:paraId="15B6A9D2">
      <w:pPr>
        <w:rPr>
          <w:rFonts w:ascii="黑体" w:hAnsi="黑体" w:eastAsia="黑体"/>
          <w:color w:val="auto"/>
          <w:sz w:val="32"/>
          <w:szCs w:val="32"/>
          <w:highlight w:val="none"/>
        </w:rPr>
      </w:pPr>
    </w:p>
    <w:p w14:paraId="6C54D8A5">
      <w:pPr>
        <w:rPr>
          <w:rFonts w:ascii="黑体" w:hAnsi="黑体" w:eastAsia="黑体"/>
          <w:color w:val="auto"/>
          <w:sz w:val="32"/>
          <w:szCs w:val="32"/>
          <w:highlight w:val="none"/>
        </w:rPr>
      </w:pPr>
      <w:r>
        <w:rPr>
          <w:rFonts w:hint="eastAsia" w:ascii="黑体" w:hAnsi="黑体" w:eastAsia="黑体"/>
          <w:color w:val="auto"/>
          <w:sz w:val="32"/>
          <w:szCs w:val="32"/>
          <w:highlight w:val="none"/>
        </w:rPr>
        <w:br w:type="page"/>
      </w:r>
    </w:p>
    <w:p w14:paraId="7420BFF3">
      <w:pPr>
        <w:ind w:firstLine="640" w:firstLineChars="200"/>
        <w:jc w:val="center"/>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第三部分 专业名词解释</w:t>
      </w:r>
      <w:bookmarkEnd w:id="32"/>
      <w:bookmarkEnd w:id="33"/>
    </w:p>
    <w:p w14:paraId="7393F0FC">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一、财政拨款收入：</w:t>
      </w:r>
      <w:r>
        <w:rPr>
          <w:rFonts w:hint="eastAsia" w:ascii="仿宋_GB2312" w:eastAsia="仿宋_GB2312"/>
          <w:color w:val="auto"/>
          <w:sz w:val="32"/>
          <w:szCs w:val="32"/>
          <w:highlight w:val="none"/>
        </w:rPr>
        <w:t>指同级财政当年拨付的资金。</w:t>
      </w:r>
    </w:p>
    <w:p w14:paraId="172C5ECA">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二、上级补助收入：</w:t>
      </w:r>
      <w:r>
        <w:rPr>
          <w:rFonts w:hint="eastAsia" w:ascii="仿宋_GB2312" w:eastAsia="仿宋_GB2312"/>
          <w:color w:val="auto"/>
          <w:sz w:val="32"/>
          <w:szCs w:val="32"/>
          <w:highlight w:val="none"/>
        </w:rPr>
        <w:t>指事业单位从主管部门和上级单位取得的非财政补助收入。</w:t>
      </w:r>
    </w:p>
    <w:p w14:paraId="7BB931B3">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三、事业收入：</w:t>
      </w:r>
      <w:r>
        <w:rPr>
          <w:rFonts w:hint="eastAsia" w:ascii="仿宋_GB2312" w:eastAsia="仿宋_GB2312"/>
          <w:color w:val="auto"/>
          <w:sz w:val="32"/>
          <w:szCs w:val="32"/>
          <w:highlight w:val="none"/>
        </w:rPr>
        <w:t>指事业单位开展专业业务活动及其辅助活动所取得的收入。</w:t>
      </w:r>
    </w:p>
    <w:p w14:paraId="755696AE">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四、经营收入：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E88296A">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五、附属单位上缴收入：</w:t>
      </w:r>
      <w:r>
        <w:rPr>
          <w:rFonts w:hint="eastAsia" w:ascii="仿宋_GB2312" w:eastAsia="仿宋_GB2312"/>
          <w:color w:val="auto"/>
          <w:sz w:val="32"/>
          <w:szCs w:val="32"/>
          <w:highlight w:val="none"/>
        </w:rPr>
        <w:t>指事业单位附属的独立核算单位按有关规定上缴的收入。</w:t>
      </w:r>
    </w:p>
    <w:p w14:paraId="011AABBA">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六、其他收入：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FFEE09B">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七、年初结转和结余：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03B20E9">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八、年末结转和结余：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95E5B5">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九、基本支出：</w:t>
      </w:r>
      <w:r>
        <w:rPr>
          <w:rFonts w:hint="eastAsia" w:ascii="仿宋_GB2312" w:eastAsia="仿宋_GB2312"/>
          <w:color w:val="auto"/>
          <w:sz w:val="32"/>
          <w:szCs w:val="32"/>
          <w:highlight w:val="none"/>
        </w:rPr>
        <w:t>指为保障机构正常运转、完成日常工作任务而发生的人员支出和公用支出。</w:t>
      </w:r>
    </w:p>
    <w:p w14:paraId="3EAD88F6">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十、项目支出：</w:t>
      </w:r>
      <w:r>
        <w:rPr>
          <w:rFonts w:hint="eastAsia" w:ascii="仿宋_GB2312" w:eastAsia="仿宋_GB2312"/>
          <w:color w:val="auto"/>
          <w:sz w:val="32"/>
          <w:szCs w:val="32"/>
          <w:highlight w:val="none"/>
        </w:rPr>
        <w:t>指在基本支出之外为完成特定行政任务和事业发展目标所发生的支出。</w:t>
      </w:r>
    </w:p>
    <w:p w14:paraId="0F437F73">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十一、经营支出：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D1A5617">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十二、对附属单位补助支出：</w:t>
      </w:r>
      <w:r>
        <w:rPr>
          <w:rFonts w:hint="eastAsia" w:ascii="仿宋_GB2312" w:eastAsia="仿宋_GB2312"/>
          <w:color w:val="auto"/>
          <w:sz w:val="32"/>
          <w:szCs w:val="32"/>
          <w:highlight w:val="none"/>
        </w:rPr>
        <w:t>指事业单位发生的用非财政预算资金对附属单位的补助支出。</w:t>
      </w:r>
    </w:p>
    <w:p w14:paraId="54EFEC1A">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十三、“三公”经费：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8CA5A6">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十四、机关运行经费：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DB8DA46">
      <w:pPr>
        <w:rPr>
          <w:color w:val="auto"/>
          <w:highlight w:val="none"/>
        </w:rPr>
      </w:pPr>
    </w:p>
    <w:p w14:paraId="790C3325">
      <w:pPr>
        <w:rPr>
          <w:color w:val="auto"/>
          <w:highlight w:val="none"/>
        </w:rPr>
      </w:pPr>
    </w:p>
    <w:p w14:paraId="3BBA0FEE">
      <w:pPr>
        <w:rPr>
          <w:color w:val="auto"/>
          <w:highlight w:val="none"/>
        </w:rPr>
      </w:pPr>
    </w:p>
    <w:p w14:paraId="76C8F9DB">
      <w:pPr>
        <w:rPr>
          <w:color w:val="auto"/>
          <w:highlight w:val="none"/>
        </w:rPr>
      </w:pPr>
    </w:p>
    <w:p w14:paraId="3299F802">
      <w:pPr>
        <w:rPr>
          <w:color w:val="auto"/>
          <w:highlight w:val="none"/>
        </w:rPr>
      </w:pPr>
    </w:p>
    <w:p w14:paraId="74A36729">
      <w:pPr>
        <w:rPr>
          <w:color w:val="auto"/>
          <w:highlight w:val="none"/>
        </w:rPr>
      </w:pPr>
    </w:p>
    <w:p w14:paraId="18A1DE19">
      <w:pPr>
        <w:rPr>
          <w:color w:val="auto"/>
          <w:highlight w:val="none"/>
        </w:rPr>
      </w:pPr>
    </w:p>
    <w:p w14:paraId="1EE2801E">
      <w:pPr>
        <w:rPr>
          <w:color w:val="auto"/>
          <w:highlight w:val="none"/>
        </w:rPr>
      </w:pPr>
    </w:p>
    <w:p w14:paraId="6212D0A5">
      <w:pPr>
        <w:autoSpaceDE w:val="0"/>
        <w:ind w:firstLine="640" w:firstLineChars="200"/>
        <w:jc w:val="center"/>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p>
    <w:p w14:paraId="20E9F028">
      <w:pPr>
        <w:ind w:firstLine="640" w:firstLineChars="200"/>
        <w:outlineLvl w:val="1"/>
        <w:rPr>
          <w:rFonts w:ascii="仿宋_GB2312" w:hAnsi="仿宋_GB2312" w:eastAsia="仿宋_GB2312" w:cs="仿宋_GB2312"/>
          <w:bCs/>
          <w:color w:val="auto"/>
          <w:kern w:val="0"/>
          <w:sz w:val="32"/>
          <w:szCs w:val="32"/>
          <w:highlight w:val="none"/>
        </w:rPr>
      </w:pPr>
      <w:bookmarkStart w:id="36" w:name="_Toc6062"/>
      <w:bookmarkStart w:id="37" w:name="_Toc2183"/>
      <w:r>
        <w:rPr>
          <w:rFonts w:hint="eastAsia" w:ascii="仿宋_GB2312" w:hAnsi="仿宋_GB2312" w:eastAsia="仿宋_GB2312" w:cs="仿宋_GB2312"/>
          <w:bCs/>
          <w:color w:val="auto"/>
          <w:kern w:val="0"/>
          <w:sz w:val="32"/>
          <w:szCs w:val="32"/>
          <w:highlight w:val="none"/>
        </w:rPr>
        <w:t>一、《收入支出决算总表》</w:t>
      </w:r>
      <w:bookmarkEnd w:id="36"/>
      <w:bookmarkEnd w:id="37"/>
    </w:p>
    <w:p w14:paraId="176F435E">
      <w:pPr>
        <w:ind w:firstLine="640" w:firstLineChars="200"/>
        <w:outlineLvl w:val="1"/>
        <w:rPr>
          <w:rFonts w:ascii="仿宋_GB2312" w:hAnsi="仿宋_GB2312" w:eastAsia="仿宋_GB2312" w:cs="仿宋_GB2312"/>
          <w:bCs/>
          <w:color w:val="auto"/>
          <w:kern w:val="0"/>
          <w:sz w:val="32"/>
          <w:szCs w:val="32"/>
          <w:highlight w:val="none"/>
        </w:rPr>
      </w:pPr>
      <w:bookmarkStart w:id="38" w:name="_Toc24532"/>
      <w:bookmarkStart w:id="39" w:name="_Toc30364"/>
      <w:r>
        <w:rPr>
          <w:rFonts w:hint="eastAsia" w:ascii="仿宋_GB2312" w:hAnsi="仿宋_GB2312" w:eastAsia="仿宋_GB2312" w:cs="仿宋_GB2312"/>
          <w:bCs/>
          <w:color w:val="auto"/>
          <w:kern w:val="0"/>
          <w:sz w:val="32"/>
          <w:szCs w:val="32"/>
          <w:highlight w:val="none"/>
        </w:rPr>
        <w:t>二、《收入决算表》</w:t>
      </w:r>
      <w:bookmarkEnd w:id="38"/>
      <w:bookmarkEnd w:id="39"/>
    </w:p>
    <w:p w14:paraId="3F241678">
      <w:pPr>
        <w:ind w:firstLine="640" w:firstLineChars="200"/>
        <w:outlineLvl w:val="1"/>
        <w:rPr>
          <w:rFonts w:ascii="仿宋_GB2312" w:hAnsi="仿宋_GB2312" w:eastAsia="仿宋_GB2312" w:cs="仿宋_GB2312"/>
          <w:bCs/>
          <w:color w:val="auto"/>
          <w:kern w:val="0"/>
          <w:sz w:val="32"/>
          <w:szCs w:val="32"/>
          <w:highlight w:val="none"/>
        </w:rPr>
      </w:pPr>
      <w:bookmarkStart w:id="40" w:name="_Toc21304"/>
      <w:bookmarkStart w:id="41" w:name="_Toc32434"/>
      <w:r>
        <w:rPr>
          <w:rFonts w:hint="eastAsia" w:ascii="仿宋_GB2312" w:hAnsi="仿宋_GB2312" w:eastAsia="仿宋_GB2312" w:cs="仿宋_GB2312"/>
          <w:bCs/>
          <w:color w:val="auto"/>
          <w:kern w:val="0"/>
          <w:sz w:val="32"/>
          <w:szCs w:val="32"/>
          <w:highlight w:val="none"/>
        </w:rPr>
        <w:t>三、《支出决算表》</w:t>
      </w:r>
      <w:bookmarkEnd w:id="40"/>
      <w:bookmarkEnd w:id="41"/>
    </w:p>
    <w:p w14:paraId="4563B7BA">
      <w:pPr>
        <w:ind w:firstLine="640" w:firstLineChars="200"/>
        <w:outlineLvl w:val="1"/>
        <w:rPr>
          <w:rFonts w:ascii="仿宋_GB2312" w:hAnsi="仿宋_GB2312" w:eastAsia="仿宋_GB2312" w:cs="仿宋_GB2312"/>
          <w:bCs/>
          <w:color w:val="auto"/>
          <w:kern w:val="0"/>
          <w:sz w:val="32"/>
          <w:szCs w:val="32"/>
          <w:highlight w:val="none"/>
        </w:rPr>
      </w:pPr>
      <w:bookmarkStart w:id="42" w:name="_Toc14238"/>
      <w:bookmarkStart w:id="43" w:name="_Toc28786"/>
      <w:r>
        <w:rPr>
          <w:rFonts w:hint="eastAsia" w:ascii="仿宋_GB2312" w:hAnsi="仿宋_GB2312" w:eastAsia="仿宋_GB2312" w:cs="仿宋_GB2312"/>
          <w:bCs/>
          <w:color w:val="auto"/>
          <w:kern w:val="0"/>
          <w:sz w:val="32"/>
          <w:szCs w:val="32"/>
          <w:highlight w:val="none"/>
        </w:rPr>
        <w:t>四、《财政拨款收入支出决算总表》</w:t>
      </w:r>
      <w:bookmarkEnd w:id="42"/>
      <w:bookmarkEnd w:id="43"/>
    </w:p>
    <w:p w14:paraId="177C3F2B">
      <w:pPr>
        <w:ind w:firstLine="640" w:firstLineChars="200"/>
        <w:outlineLvl w:val="1"/>
        <w:rPr>
          <w:rFonts w:ascii="仿宋_GB2312" w:hAnsi="仿宋_GB2312" w:eastAsia="仿宋_GB2312" w:cs="仿宋_GB2312"/>
          <w:bCs/>
          <w:color w:val="auto"/>
          <w:kern w:val="0"/>
          <w:sz w:val="32"/>
          <w:szCs w:val="32"/>
          <w:highlight w:val="none"/>
        </w:rPr>
      </w:pPr>
      <w:bookmarkStart w:id="44" w:name="_Toc14869"/>
      <w:bookmarkStart w:id="45" w:name="_Toc10347"/>
      <w:r>
        <w:rPr>
          <w:rFonts w:hint="eastAsia" w:ascii="仿宋_GB2312" w:hAnsi="仿宋_GB2312" w:eastAsia="仿宋_GB2312" w:cs="仿宋_GB2312"/>
          <w:bCs/>
          <w:color w:val="auto"/>
          <w:kern w:val="0"/>
          <w:sz w:val="32"/>
          <w:szCs w:val="32"/>
          <w:highlight w:val="none"/>
        </w:rPr>
        <w:t>五、《一般公共预算财政拨款支出决算表》</w:t>
      </w:r>
      <w:bookmarkEnd w:id="44"/>
      <w:bookmarkEnd w:id="45"/>
    </w:p>
    <w:p w14:paraId="43F1BDE2">
      <w:pPr>
        <w:ind w:firstLine="640" w:firstLineChars="200"/>
        <w:outlineLvl w:val="1"/>
        <w:rPr>
          <w:rFonts w:ascii="仿宋_GB2312" w:hAnsi="仿宋_GB2312" w:eastAsia="仿宋_GB2312" w:cs="仿宋_GB2312"/>
          <w:bCs/>
          <w:color w:val="auto"/>
          <w:kern w:val="0"/>
          <w:sz w:val="32"/>
          <w:szCs w:val="32"/>
          <w:highlight w:val="none"/>
        </w:rPr>
      </w:pPr>
      <w:bookmarkStart w:id="46" w:name="_Toc5626"/>
      <w:bookmarkStart w:id="47" w:name="_Toc8884"/>
      <w:r>
        <w:rPr>
          <w:rFonts w:hint="eastAsia" w:ascii="仿宋_GB2312" w:hAnsi="仿宋_GB2312" w:eastAsia="仿宋_GB2312" w:cs="仿宋_GB2312"/>
          <w:bCs/>
          <w:color w:val="auto"/>
          <w:kern w:val="0"/>
          <w:sz w:val="32"/>
          <w:szCs w:val="32"/>
          <w:highlight w:val="none"/>
        </w:rPr>
        <w:t>六、《一般公共预算财政拨款基本支出决算表》</w:t>
      </w:r>
      <w:bookmarkEnd w:id="46"/>
      <w:bookmarkEnd w:id="47"/>
    </w:p>
    <w:p w14:paraId="56248C4B">
      <w:pPr>
        <w:ind w:firstLine="640" w:firstLineChars="200"/>
        <w:outlineLvl w:val="1"/>
        <w:rPr>
          <w:rFonts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七、</w:t>
      </w:r>
      <w:bookmarkStart w:id="48" w:name="_Toc29106"/>
      <w:bookmarkStart w:id="49" w:name="_Toc32663"/>
      <w:r>
        <w:rPr>
          <w:rFonts w:hint="eastAsia" w:ascii="仿宋_GB2312" w:hAnsi="仿宋_GB2312" w:eastAsia="仿宋_GB2312" w:cs="仿宋_GB2312"/>
          <w:bCs/>
          <w:color w:val="auto"/>
          <w:kern w:val="0"/>
          <w:sz w:val="32"/>
          <w:szCs w:val="32"/>
          <w:highlight w:val="none"/>
        </w:rPr>
        <w:t>《财政拨款“三公”经费支出决算表》</w:t>
      </w:r>
      <w:bookmarkEnd w:id="48"/>
      <w:bookmarkEnd w:id="49"/>
    </w:p>
    <w:p w14:paraId="04B446EC">
      <w:pPr>
        <w:ind w:firstLine="640" w:firstLineChars="200"/>
        <w:outlineLvl w:val="1"/>
        <w:rPr>
          <w:rFonts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八、《政府性基金预算财政拨款收入支出决算表》</w:t>
      </w:r>
    </w:p>
    <w:p w14:paraId="1CC4E1B2">
      <w:pPr>
        <w:ind w:firstLine="640" w:firstLineChars="200"/>
        <w:outlineLvl w:val="1"/>
        <w:rPr>
          <w:rFonts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九、《国有资本经营预算财政拨款收入支出决算表》</w:t>
      </w:r>
    </w:p>
    <w:p w14:paraId="47D697A9">
      <w:pPr>
        <w:rPr>
          <w:color w:val="auto"/>
          <w:highlight w:val="none"/>
        </w:rPr>
      </w:pPr>
    </w:p>
    <w:p w14:paraId="2BC10543">
      <w:pPr>
        <w:rPr>
          <w:color w:val="auto"/>
          <w:highlight w:val="none"/>
        </w:rPr>
      </w:pPr>
    </w:p>
    <w:p w14:paraId="3E17F38E">
      <w:pPr>
        <w:rPr>
          <w:color w:val="auto"/>
          <w:highlight w:val="none"/>
        </w:rPr>
      </w:pPr>
    </w:p>
    <w:p w14:paraId="22940B6C">
      <w:pPr>
        <w:rPr>
          <w:color w:val="auto"/>
          <w:highlight w:val="none"/>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0623D">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C452FA">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pETonXAQAAsgMAAA4AAAAAAAAAAQAgAAAA&#10;HgEAAGRycy9lMm9Eb2MueG1sUEsFBgAAAAAGAAYAWQEAAGcFAAAAAA==&#10;">
              <v:fill on="f" focussize="0,0"/>
              <v:stroke on="f"/>
              <v:imagedata o:title=""/>
              <o:lock v:ext="edit" aspectratio="f"/>
              <v:textbox inset="0mm,0mm,0mm,0mm" style="mso-fit-shape-to-text:t;">
                <w:txbxContent>
                  <w:p w14:paraId="10C452FA">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A930F">
    <w:pPr>
      <w:pStyle w:val="5"/>
    </w:pPr>
    <w:r>
      <w:rPr>
        <w:lang w:bidi="ug-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155F11">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0155F11">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wMTFjZmI3NWUwMGRmYWEyNzFiMzQ2OTlkZWE5ODAifQ=="/>
  </w:docVars>
  <w:rsids>
    <w:rsidRoot w:val="00312C27"/>
    <w:rsid w:val="00003E25"/>
    <w:rsid w:val="00012F23"/>
    <w:rsid w:val="00021E76"/>
    <w:rsid w:val="000229DC"/>
    <w:rsid w:val="0002765D"/>
    <w:rsid w:val="000310F8"/>
    <w:rsid w:val="0003297B"/>
    <w:rsid w:val="000379B3"/>
    <w:rsid w:val="00053A12"/>
    <w:rsid w:val="0005626F"/>
    <w:rsid w:val="000569AB"/>
    <w:rsid w:val="000724E7"/>
    <w:rsid w:val="00073996"/>
    <w:rsid w:val="0008509D"/>
    <w:rsid w:val="00090520"/>
    <w:rsid w:val="000A0B31"/>
    <w:rsid w:val="000B2837"/>
    <w:rsid w:val="000D2344"/>
    <w:rsid w:val="000D267C"/>
    <w:rsid w:val="000E75B2"/>
    <w:rsid w:val="000E7B17"/>
    <w:rsid w:val="00121C15"/>
    <w:rsid w:val="00123257"/>
    <w:rsid w:val="00135BB7"/>
    <w:rsid w:val="00142378"/>
    <w:rsid w:val="0016194B"/>
    <w:rsid w:val="001762A3"/>
    <w:rsid w:val="00182700"/>
    <w:rsid w:val="00185C9C"/>
    <w:rsid w:val="001B0BD1"/>
    <w:rsid w:val="001B147B"/>
    <w:rsid w:val="001C3354"/>
    <w:rsid w:val="001D1E7F"/>
    <w:rsid w:val="00210E38"/>
    <w:rsid w:val="00215836"/>
    <w:rsid w:val="00221441"/>
    <w:rsid w:val="00224B57"/>
    <w:rsid w:val="002259E8"/>
    <w:rsid w:val="00233B71"/>
    <w:rsid w:val="00235C0B"/>
    <w:rsid w:val="00240AA1"/>
    <w:rsid w:val="0026230C"/>
    <w:rsid w:val="00263A31"/>
    <w:rsid w:val="00263A81"/>
    <w:rsid w:val="00271C68"/>
    <w:rsid w:val="00294495"/>
    <w:rsid w:val="0029483B"/>
    <w:rsid w:val="002A2698"/>
    <w:rsid w:val="002B179F"/>
    <w:rsid w:val="002B6C9C"/>
    <w:rsid w:val="002D1584"/>
    <w:rsid w:val="00311B34"/>
    <w:rsid w:val="00312C27"/>
    <w:rsid w:val="003413C6"/>
    <w:rsid w:val="00352E78"/>
    <w:rsid w:val="00361BDE"/>
    <w:rsid w:val="00362F42"/>
    <w:rsid w:val="00366326"/>
    <w:rsid w:val="003A21C7"/>
    <w:rsid w:val="003A7504"/>
    <w:rsid w:val="003B1B1F"/>
    <w:rsid w:val="003C2E0F"/>
    <w:rsid w:val="003D37A8"/>
    <w:rsid w:val="003D686F"/>
    <w:rsid w:val="003F01CB"/>
    <w:rsid w:val="003F04B0"/>
    <w:rsid w:val="003F1325"/>
    <w:rsid w:val="003F3219"/>
    <w:rsid w:val="00411B2D"/>
    <w:rsid w:val="004124C3"/>
    <w:rsid w:val="00435C19"/>
    <w:rsid w:val="00436039"/>
    <w:rsid w:val="00453530"/>
    <w:rsid w:val="00453B56"/>
    <w:rsid w:val="00460D47"/>
    <w:rsid w:val="004704A1"/>
    <w:rsid w:val="00470887"/>
    <w:rsid w:val="00484954"/>
    <w:rsid w:val="00494FFD"/>
    <w:rsid w:val="004A0689"/>
    <w:rsid w:val="004B1173"/>
    <w:rsid w:val="004C2483"/>
    <w:rsid w:val="004C3288"/>
    <w:rsid w:val="004C4A14"/>
    <w:rsid w:val="004C6A74"/>
    <w:rsid w:val="004D41E0"/>
    <w:rsid w:val="004E6844"/>
    <w:rsid w:val="004F2A44"/>
    <w:rsid w:val="0050663B"/>
    <w:rsid w:val="00507903"/>
    <w:rsid w:val="00517943"/>
    <w:rsid w:val="00531043"/>
    <w:rsid w:val="00531F92"/>
    <w:rsid w:val="00556D35"/>
    <w:rsid w:val="00557718"/>
    <w:rsid w:val="005614A4"/>
    <w:rsid w:val="00561710"/>
    <w:rsid w:val="00562ED8"/>
    <w:rsid w:val="0057126F"/>
    <w:rsid w:val="00571ACE"/>
    <w:rsid w:val="00572CBD"/>
    <w:rsid w:val="005755CC"/>
    <w:rsid w:val="00581EA9"/>
    <w:rsid w:val="0058426D"/>
    <w:rsid w:val="005A07B6"/>
    <w:rsid w:val="005A161C"/>
    <w:rsid w:val="005B643B"/>
    <w:rsid w:val="005C3DEB"/>
    <w:rsid w:val="005D00A7"/>
    <w:rsid w:val="005D0AD9"/>
    <w:rsid w:val="005D1C2D"/>
    <w:rsid w:val="005E3B4A"/>
    <w:rsid w:val="0060159A"/>
    <w:rsid w:val="00611132"/>
    <w:rsid w:val="00626A93"/>
    <w:rsid w:val="00656E06"/>
    <w:rsid w:val="00665BE8"/>
    <w:rsid w:val="00680772"/>
    <w:rsid w:val="006B52D5"/>
    <w:rsid w:val="006C27D5"/>
    <w:rsid w:val="006C2D78"/>
    <w:rsid w:val="006C49CE"/>
    <w:rsid w:val="006C79F9"/>
    <w:rsid w:val="006D1EE8"/>
    <w:rsid w:val="006E797E"/>
    <w:rsid w:val="006F1A9D"/>
    <w:rsid w:val="006F4050"/>
    <w:rsid w:val="006F66CC"/>
    <w:rsid w:val="007002BB"/>
    <w:rsid w:val="0071209C"/>
    <w:rsid w:val="0071348F"/>
    <w:rsid w:val="00752DF5"/>
    <w:rsid w:val="00753B65"/>
    <w:rsid w:val="00760DE7"/>
    <w:rsid w:val="00761E0D"/>
    <w:rsid w:val="00762855"/>
    <w:rsid w:val="007649BA"/>
    <w:rsid w:val="00787C58"/>
    <w:rsid w:val="007A247A"/>
    <w:rsid w:val="007A2C8E"/>
    <w:rsid w:val="007A31DF"/>
    <w:rsid w:val="007B559C"/>
    <w:rsid w:val="007D1F7C"/>
    <w:rsid w:val="007D31C5"/>
    <w:rsid w:val="007E0AAA"/>
    <w:rsid w:val="007E2227"/>
    <w:rsid w:val="007F2258"/>
    <w:rsid w:val="0081064F"/>
    <w:rsid w:val="00815FA0"/>
    <w:rsid w:val="00833637"/>
    <w:rsid w:val="0084474D"/>
    <w:rsid w:val="0085037A"/>
    <w:rsid w:val="00857CB8"/>
    <w:rsid w:val="008865B8"/>
    <w:rsid w:val="00893F99"/>
    <w:rsid w:val="0089722A"/>
    <w:rsid w:val="008A0B2C"/>
    <w:rsid w:val="008A44AF"/>
    <w:rsid w:val="008B33C8"/>
    <w:rsid w:val="008C3778"/>
    <w:rsid w:val="008D0631"/>
    <w:rsid w:val="008D6146"/>
    <w:rsid w:val="008F01FE"/>
    <w:rsid w:val="00905908"/>
    <w:rsid w:val="00905F12"/>
    <w:rsid w:val="0091393B"/>
    <w:rsid w:val="00914C96"/>
    <w:rsid w:val="00921C20"/>
    <w:rsid w:val="00926C84"/>
    <w:rsid w:val="00927CCC"/>
    <w:rsid w:val="00947580"/>
    <w:rsid w:val="00955F5A"/>
    <w:rsid w:val="009759F7"/>
    <w:rsid w:val="009816D2"/>
    <w:rsid w:val="00986787"/>
    <w:rsid w:val="009C08BE"/>
    <w:rsid w:val="009C6DC6"/>
    <w:rsid w:val="00A0530F"/>
    <w:rsid w:val="00A06650"/>
    <w:rsid w:val="00A071F0"/>
    <w:rsid w:val="00A22AE4"/>
    <w:rsid w:val="00A347A6"/>
    <w:rsid w:val="00A3556A"/>
    <w:rsid w:val="00A636E4"/>
    <w:rsid w:val="00A636EF"/>
    <w:rsid w:val="00A733D2"/>
    <w:rsid w:val="00A87103"/>
    <w:rsid w:val="00A87B80"/>
    <w:rsid w:val="00AB776D"/>
    <w:rsid w:val="00AC1E96"/>
    <w:rsid w:val="00AE1570"/>
    <w:rsid w:val="00AE3A18"/>
    <w:rsid w:val="00AE72BB"/>
    <w:rsid w:val="00B000E4"/>
    <w:rsid w:val="00B03B50"/>
    <w:rsid w:val="00B33BF0"/>
    <w:rsid w:val="00B35A42"/>
    <w:rsid w:val="00B37F9D"/>
    <w:rsid w:val="00B4517D"/>
    <w:rsid w:val="00B53821"/>
    <w:rsid w:val="00B665A3"/>
    <w:rsid w:val="00B92C80"/>
    <w:rsid w:val="00BA3B30"/>
    <w:rsid w:val="00BC3674"/>
    <w:rsid w:val="00BC6347"/>
    <w:rsid w:val="00BC69BD"/>
    <w:rsid w:val="00BD3218"/>
    <w:rsid w:val="00BD5200"/>
    <w:rsid w:val="00BE4763"/>
    <w:rsid w:val="00BF449D"/>
    <w:rsid w:val="00BF65D5"/>
    <w:rsid w:val="00BF7AA6"/>
    <w:rsid w:val="00C01298"/>
    <w:rsid w:val="00C0408D"/>
    <w:rsid w:val="00C23286"/>
    <w:rsid w:val="00C25C01"/>
    <w:rsid w:val="00C26FDB"/>
    <w:rsid w:val="00C37259"/>
    <w:rsid w:val="00C37871"/>
    <w:rsid w:val="00C463D4"/>
    <w:rsid w:val="00C65103"/>
    <w:rsid w:val="00C66483"/>
    <w:rsid w:val="00C7153E"/>
    <w:rsid w:val="00C72191"/>
    <w:rsid w:val="00C72285"/>
    <w:rsid w:val="00C77B7E"/>
    <w:rsid w:val="00C90C12"/>
    <w:rsid w:val="00CA6634"/>
    <w:rsid w:val="00CB036E"/>
    <w:rsid w:val="00CC0FA6"/>
    <w:rsid w:val="00CD0FDC"/>
    <w:rsid w:val="00CD3225"/>
    <w:rsid w:val="00CE34AF"/>
    <w:rsid w:val="00CF5B51"/>
    <w:rsid w:val="00CF7E34"/>
    <w:rsid w:val="00D020FB"/>
    <w:rsid w:val="00D03FF6"/>
    <w:rsid w:val="00D25150"/>
    <w:rsid w:val="00D41FF8"/>
    <w:rsid w:val="00D45561"/>
    <w:rsid w:val="00D569F5"/>
    <w:rsid w:val="00D6005A"/>
    <w:rsid w:val="00D6267B"/>
    <w:rsid w:val="00D638C7"/>
    <w:rsid w:val="00D64C5E"/>
    <w:rsid w:val="00D66A40"/>
    <w:rsid w:val="00D76208"/>
    <w:rsid w:val="00D8609B"/>
    <w:rsid w:val="00DA0362"/>
    <w:rsid w:val="00DA3B1B"/>
    <w:rsid w:val="00DB70C1"/>
    <w:rsid w:val="00DB7158"/>
    <w:rsid w:val="00DC77A7"/>
    <w:rsid w:val="00DE1C83"/>
    <w:rsid w:val="00DF2FD8"/>
    <w:rsid w:val="00E04D53"/>
    <w:rsid w:val="00E16379"/>
    <w:rsid w:val="00E2064A"/>
    <w:rsid w:val="00E21405"/>
    <w:rsid w:val="00E2268A"/>
    <w:rsid w:val="00E25E17"/>
    <w:rsid w:val="00E2612B"/>
    <w:rsid w:val="00E3623A"/>
    <w:rsid w:val="00E4165E"/>
    <w:rsid w:val="00E45222"/>
    <w:rsid w:val="00E531F9"/>
    <w:rsid w:val="00E624E2"/>
    <w:rsid w:val="00E82372"/>
    <w:rsid w:val="00EB34D7"/>
    <w:rsid w:val="00EC60C6"/>
    <w:rsid w:val="00ED5203"/>
    <w:rsid w:val="00EE43CE"/>
    <w:rsid w:val="00EE4EA5"/>
    <w:rsid w:val="00EE6071"/>
    <w:rsid w:val="00EF5857"/>
    <w:rsid w:val="00F037FC"/>
    <w:rsid w:val="00F0691A"/>
    <w:rsid w:val="00F1237C"/>
    <w:rsid w:val="00F20986"/>
    <w:rsid w:val="00F20EB6"/>
    <w:rsid w:val="00F216E3"/>
    <w:rsid w:val="00F26856"/>
    <w:rsid w:val="00F30DDE"/>
    <w:rsid w:val="00F36EC3"/>
    <w:rsid w:val="00F42A4A"/>
    <w:rsid w:val="00F4516A"/>
    <w:rsid w:val="00F53C2D"/>
    <w:rsid w:val="00F66B7F"/>
    <w:rsid w:val="00F7210D"/>
    <w:rsid w:val="00F8314A"/>
    <w:rsid w:val="00F876D7"/>
    <w:rsid w:val="00F91E81"/>
    <w:rsid w:val="00F95054"/>
    <w:rsid w:val="00FC7D62"/>
    <w:rsid w:val="00FD4050"/>
    <w:rsid w:val="00FF6A37"/>
    <w:rsid w:val="032D315A"/>
    <w:rsid w:val="034D4FEF"/>
    <w:rsid w:val="040F1E8F"/>
    <w:rsid w:val="0417317B"/>
    <w:rsid w:val="043E5B56"/>
    <w:rsid w:val="04732647"/>
    <w:rsid w:val="04CF4391"/>
    <w:rsid w:val="052D280B"/>
    <w:rsid w:val="05A625A8"/>
    <w:rsid w:val="05F504EF"/>
    <w:rsid w:val="05FE4064"/>
    <w:rsid w:val="06792773"/>
    <w:rsid w:val="08147C9D"/>
    <w:rsid w:val="08911978"/>
    <w:rsid w:val="091F71B0"/>
    <w:rsid w:val="092A4ADF"/>
    <w:rsid w:val="099E33D8"/>
    <w:rsid w:val="0A042978"/>
    <w:rsid w:val="0A7B4867"/>
    <w:rsid w:val="0AAF134E"/>
    <w:rsid w:val="0AE83DE6"/>
    <w:rsid w:val="0B330CF1"/>
    <w:rsid w:val="0B881E3F"/>
    <w:rsid w:val="0B8C3ECC"/>
    <w:rsid w:val="0BBA0A81"/>
    <w:rsid w:val="0C221D1D"/>
    <w:rsid w:val="0C2D57D1"/>
    <w:rsid w:val="0C7227A7"/>
    <w:rsid w:val="0D3927F2"/>
    <w:rsid w:val="0DA014E7"/>
    <w:rsid w:val="0DB32518"/>
    <w:rsid w:val="0DC42297"/>
    <w:rsid w:val="0E714607"/>
    <w:rsid w:val="0E7E2314"/>
    <w:rsid w:val="0EC3241C"/>
    <w:rsid w:val="0F1E5C40"/>
    <w:rsid w:val="0F3317C1"/>
    <w:rsid w:val="0F5237D2"/>
    <w:rsid w:val="0F802ABC"/>
    <w:rsid w:val="0F8333F0"/>
    <w:rsid w:val="0FA062BA"/>
    <w:rsid w:val="101025DE"/>
    <w:rsid w:val="101326B4"/>
    <w:rsid w:val="10492164"/>
    <w:rsid w:val="106E6DC6"/>
    <w:rsid w:val="1192733C"/>
    <w:rsid w:val="120C4FBF"/>
    <w:rsid w:val="12386E6F"/>
    <w:rsid w:val="129A3341"/>
    <w:rsid w:val="13442466"/>
    <w:rsid w:val="14155180"/>
    <w:rsid w:val="14221705"/>
    <w:rsid w:val="142B6836"/>
    <w:rsid w:val="14351B39"/>
    <w:rsid w:val="14863CD0"/>
    <w:rsid w:val="152A0518"/>
    <w:rsid w:val="15C26F8A"/>
    <w:rsid w:val="15F06E99"/>
    <w:rsid w:val="164948B5"/>
    <w:rsid w:val="169A7F07"/>
    <w:rsid w:val="17C4692E"/>
    <w:rsid w:val="17F631BE"/>
    <w:rsid w:val="180D092D"/>
    <w:rsid w:val="18461A14"/>
    <w:rsid w:val="189866C8"/>
    <w:rsid w:val="19063631"/>
    <w:rsid w:val="1985161D"/>
    <w:rsid w:val="19B71470"/>
    <w:rsid w:val="19C01A32"/>
    <w:rsid w:val="19CC1E23"/>
    <w:rsid w:val="1A0B7381"/>
    <w:rsid w:val="1A330456"/>
    <w:rsid w:val="1AE17EB2"/>
    <w:rsid w:val="1C043A04"/>
    <w:rsid w:val="1C0518BA"/>
    <w:rsid w:val="1C4C0424"/>
    <w:rsid w:val="1C7A04C1"/>
    <w:rsid w:val="1CC932F4"/>
    <w:rsid w:val="1CEF7619"/>
    <w:rsid w:val="1D7C4924"/>
    <w:rsid w:val="1DAF458D"/>
    <w:rsid w:val="1E677EA7"/>
    <w:rsid w:val="1EA330CC"/>
    <w:rsid w:val="1EB61656"/>
    <w:rsid w:val="1F4D3D68"/>
    <w:rsid w:val="1FED210E"/>
    <w:rsid w:val="203B0065"/>
    <w:rsid w:val="20DD6197"/>
    <w:rsid w:val="21A91B81"/>
    <w:rsid w:val="21C63C89"/>
    <w:rsid w:val="222A65E3"/>
    <w:rsid w:val="23AF0AD9"/>
    <w:rsid w:val="23BC04D2"/>
    <w:rsid w:val="23FB0802"/>
    <w:rsid w:val="24512BD2"/>
    <w:rsid w:val="25217DFA"/>
    <w:rsid w:val="255A3847"/>
    <w:rsid w:val="2576795D"/>
    <w:rsid w:val="259721E1"/>
    <w:rsid w:val="25AD6636"/>
    <w:rsid w:val="26213859"/>
    <w:rsid w:val="2631564B"/>
    <w:rsid w:val="26752EC5"/>
    <w:rsid w:val="26795975"/>
    <w:rsid w:val="26E01966"/>
    <w:rsid w:val="26FC5D6A"/>
    <w:rsid w:val="26FF09C7"/>
    <w:rsid w:val="27345AF6"/>
    <w:rsid w:val="277F0ACA"/>
    <w:rsid w:val="27CF2642"/>
    <w:rsid w:val="2895052E"/>
    <w:rsid w:val="28FD4112"/>
    <w:rsid w:val="29B13146"/>
    <w:rsid w:val="29ED4AAF"/>
    <w:rsid w:val="2A053397"/>
    <w:rsid w:val="2C8815BF"/>
    <w:rsid w:val="2CC338BC"/>
    <w:rsid w:val="2D1136DF"/>
    <w:rsid w:val="2D291579"/>
    <w:rsid w:val="2D480265"/>
    <w:rsid w:val="2DD47676"/>
    <w:rsid w:val="2DDB0E91"/>
    <w:rsid w:val="2E743C6A"/>
    <w:rsid w:val="2F015402"/>
    <w:rsid w:val="2F916B46"/>
    <w:rsid w:val="2FD27414"/>
    <w:rsid w:val="2FD45ADE"/>
    <w:rsid w:val="2FF4273A"/>
    <w:rsid w:val="301461DC"/>
    <w:rsid w:val="3086500B"/>
    <w:rsid w:val="30E07B57"/>
    <w:rsid w:val="310E568A"/>
    <w:rsid w:val="319D5866"/>
    <w:rsid w:val="31C63837"/>
    <w:rsid w:val="337F5E08"/>
    <w:rsid w:val="33CF6FEA"/>
    <w:rsid w:val="349B3370"/>
    <w:rsid w:val="3567606C"/>
    <w:rsid w:val="35743217"/>
    <w:rsid w:val="35BE5248"/>
    <w:rsid w:val="35FB19DD"/>
    <w:rsid w:val="361B360C"/>
    <w:rsid w:val="377D0BFD"/>
    <w:rsid w:val="37896CF9"/>
    <w:rsid w:val="37B163A5"/>
    <w:rsid w:val="3914510A"/>
    <w:rsid w:val="39A97FBD"/>
    <w:rsid w:val="3AEA5EF5"/>
    <w:rsid w:val="3B12207E"/>
    <w:rsid w:val="3B1540E8"/>
    <w:rsid w:val="3B3C07D5"/>
    <w:rsid w:val="3C745C12"/>
    <w:rsid w:val="3D2A665C"/>
    <w:rsid w:val="3D5275AC"/>
    <w:rsid w:val="3DC94AAA"/>
    <w:rsid w:val="3DC96858"/>
    <w:rsid w:val="3E3F6B1A"/>
    <w:rsid w:val="3FA9316F"/>
    <w:rsid w:val="3FEB5DEA"/>
    <w:rsid w:val="40834692"/>
    <w:rsid w:val="416A2335"/>
    <w:rsid w:val="41A84A67"/>
    <w:rsid w:val="41BD2B78"/>
    <w:rsid w:val="42913A5C"/>
    <w:rsid w:val="434F5A51"/>
    <w:rsid w:val="439B381A"/>
    <w:rsid w:val="43D97719"/>
    <w:rsid w:val="43F3098B"/>
    <w:rsid w:val="4427767B"/>
    <w:rsid w:val="44425296"/>
    <w:rsid w:val="448437A4"/>
    <w:rsid w:val="44D205B1"/>
    <w:rsid w:val="44F4368F"/>
    <w:rsid w:val="454126C2"/>
    <w:rsid w:val="454B2248"/>
    <w:rsid w:val="45833FED"/>
    <w:rsid w:val="45E16709"/>
    <w:rsid w:val="462B661A"/>
    <w:rsid w:val="463F16B9"/>
    <w:rsid w:val="46901EEE"/>
    <w:rsid w:val="469C74D2"/>
    <w:rsid w:val="47281438"/>
    <w:rsid w:val="47376A2B"/>
    <w:rsid w:val="47791D37"/>
    <w:rsid w:val="479C12D3"/>
    <w:rsid w:val="47A53BB1"/>
    <w:rsid w:val="496D4D42"/>
    <w:rsid w:val="49B933AA"/>
    <w:rsid w:val="49F963F6"/>
    <w:rsid w:val="4A6B0F8B"/>
    <w:rsid w:val="4A70354A"/>
    <w:rsid w:val="4B4C0111"/>
    <w:rsid w:val="4C72630D"/>
    <w:rsid w:val="4D23397E"/>
    <w:rsid w:val="4D270BA8"/>
    <w:rsid w:val="4D4759EB"/>
    <w:rsid w:val="4E1C62C5"/>
    <w:rsid w:val="4E3C6544"/>
    <w:rsid w:val="4E6414EC"/>
    <w:rsid w:val="4F941DA8"/>
    <w:rsid w:val="4F9A0054"/>
    <w:rsid w:val="500B2EA9"/>
    <w:rsid w:val="50A62A29"/>
    <w:rsid w:val="50DB5F45"/>
    <w:rsid w:val="52926DE7"/>
    <w:rsid w:val="52B159A3"/>
    <w:rsid w:val="52F92565"/>
    <w:rsid w:val="539A32BF"/>
    <w:rsid w:val="53B84F4D"/>
    <w:rsid w:val="540E1011"/>
    <w:rsid w:val="54E12281"/>
    <w:rsid w:val="551E5284"/>
    <w:rsid w:val="55911164"/>
    <w:rsid w:val="55CE6BE9"/>
    <w:rsid w:val="56B72612"/>
    <w:rsid w:val="575171B4"/>
    <w:rsid w:val="57E43B01"/>
    <w:rsid w:val="583059FA"/>
    <w:rsid w:val="5999629E"/>
    <w:rsid w:val="5A864A48"/>
    <w:rsid w:val="5A8D7D9D"/>
    <w:rsid w:val="5ABB586A"/>
    <w:rsid w:val="5B4408D0"/>
    <w:rsid w:val="5BD14DFE"/>
    <w:rsid w:val="5D6F5ADE"/>
    <w:rsid w:val="5F9C3975"/>
    <w:rsid w:val="5FA17648"/>
    <w:rsid w:val="600734E4"/>
    <w:rsid w:val="60513E90"/>
    <w:rsid w:val="607466A0"/>
    <w:rsid w:val="60BD64EB"/>
    <w:rsid w:val="60D801D1"/>
    <w:rsid w:val="61483A52"/>
    <w:rsid w:val="6177129C"/>
    <w:rsid w:val="61A46A97"/>
    <w:rsid w:val="61F1635D"/>
    <w:rsid w:val="62206ADF"/>
    <w:rsid w:val="62DD7D21"/>
    <w:rsid w:val="63005324"/>
    <w:rsid w:val="630F26B0"/>
    <w:rsid w:val="655D5ADE"/>
    <w:rsid w:val="65D97752"/>
    <w:rsid w:val="65ED4F2A"/>
    <w:rsid w:val="66911D59"/>
    <w:rsid w:val="66B07250"/>
    <w:rsid w:val="67B50D99"/>
    <w:rsid w:val="686C014B"/>
    <w:rsid w:val="68DB0208"/>
    <w:rsid w:val="692A3D9F"/>
    <w:rsid w:val="695011B1"/>
    <w:rsid w:val="69926A38"/>
    <w:rsid w:val="69AD798C"/>
    <w:rsid w:val="69BF098B"/>
    <w:rsid w:val="69C62985"/>
    <w:rsid w:val="6A1227E3"/>
    <w:rsid w:val="6ABF5EF0"/>
    <w:rsid w:val="6B655327"/>
    <w:rsid w:val="6B68175F"/>
    <w:rsid w:val="6B9C7099"/>
    <w:rsid w:val="6C085287"/>
    <w:rsid w:val="6C0D23FB"/>
    <w:rsid w:val="6CA85897"/>
    <w:rsid w:val="6D3C20E6"/>
    <w:rsid w:val="6D4F316A"/>
    <w:rsid w:val="6DB02BFC"/>
    <w:rsid w:val="6DE6616A"/>
    <w:rsid w:val="6E0F7A08"/>
    <w:rsid w:val="6F2B707F"/>
    <w:rsid w:val="6F300F8A"/>
    <w:rsid w:val="706E0058"/>
    <w:rsid w:val="70F70B24"/>
    <w:rsid w:val="71473612"/>
    <w:rsid w:val="718F7F65"/>
    <w:rsid w:val="71BA2F54"/>
    <w:rsid w:val="738D7237"/>
    <w:rsid w:val="73F7554E"/>
    <w:rsid w:val="73FB6630"/>
    <w:rsid w:val="741B5F93"/>
    <w:rsid w:val="74E76DCD"/>
    <w:rsid w:val="75AA10CA"/>
    <w:rsid w:val="75DD70A5"/>
    <w:rsid w:val="75F80CF3"/>
    <w:rsid w:val="761546E1"/>
    <w:rsid w:val="76E00627"/>
    <w:rsid w:val="76E71522"/>
    <w:rsid w:val="770F2355"/>
    <w:rsid w:val="774B046B"/>
    <w:rsid w:val="77ED6F44"/>
    <w:rsid w:val="77F2017E"/>
    <w:rsid w:val="78F03F96"/>
    <w:rsid w:val="79232399"/>
    <w:rsid w:val="794D4DD4"/>
    <w:rsid w:val="796E7CD8"/>
    <w:rsid w:val="7A121319"/>
    <w:rsid w:val="7A67777E"/>
    <w:rsid w:val="7A902BE2"/>
    <w:rsid w:val="7AEA5A84"/>
    <w:rsid w:val="7B34797E"/>
    <w:rsid w:val="7C3E50B0"/>
    <w:rsid w:val="7C7B7C1A"/>
    <w:rsid w:val="7E663674"/>
    <w:rsid w:val="7E8D3147"/>
    <w:rsid w:val="7EC565EC"/>
    <w:rsid w:val="7F985AAF"/>
    <w:rsid w:val="7F9F508F"/>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customStyle="1" w:styleId="14">
    <w:name w:val="WPSOffice手动目录 3"/>
    <w:qFormat/>
    <w:uiPriority w:val="0"/>
    <w:pPr>
      <w:ind w:left="400" w:leftChars="400"/>
    </w:pPr>
    <w:rPr>
      <w:rFonts w:ascii="Times New Roman" w:hAnsi="Times New Roman" w:eastAsia="宋体" w:cs="Times New Roman"/>
      <w:lang w:val="en-US" w:eastAsia="zh-CN" w:bidi="ug-CN"/>
    </w:rPr>
  </w:style>
  <w:style w:type="paragraph" w:customStyle="1" w:styleId="15">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6">
    <w:name w:val="WPSOffice手动目录 1"/>
    <w:qFormat/>
    <w:uiPriority w:val="0"/>
    <w:rPr>
      <w:rFonts w:ascii="Times New Roman" w:hAnsi="Times New Roman" w:eastAsia="宋体" w:cs="Times New Roman"/>
      <w:lang w:val="en-US" w:eastAsia="zh-CN" w:bidi="ug-CN"/>
    </w:rPr>
  </w:style>
  <w:style w:type="character" w:customStyle="1" w:styleId="17">
    <w:name w:val="批注框文本 字符"/>
    <w:basedOn w:val="12"/>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21</Pages>
  <Words>7732</Words>
  <Characters>8827</Characters>
  <Lines>197</Lines>
  <Paragraphs>55</Paragraphs>
  <TotalTime>18</TotalTime>
  <ScaleCrop>false</ScaleCrop>
  <LinksUpToDate>false</LinksUpToDate>
  <CharactersWithSpaces>8887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2024-11-28T05:32:42Z</dcterms:modified>
  <cp:revision>244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77744CDE864F4B1BBAB43EA9BDD405A9_13</vt:lpwstr>
  </property>
</Properties>
</file>