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EB3ED6E">
      <w:pPr>
        <w:spacing w:line="540" w:lineRule="exact"/>
        <w:jc w:val="left"/>
        <w:rPr>
          <w:rFonts w:ascii="仿宋" w:hAnsi="仿宋" w:eastAsia="仿宋" w:cs="宋体"/>
          <w:kern w:val="0"/>
          <w:sz w:val="32"/>
          <w:szCs w:val="32"/>
        </w:rPr>
      </w:pPr>
      <w:r>
        <w:rPr>
          <w:rFonts w:hint="eastAsia" w:ascii="仿宋" w:hAnsi="仿宋" w:eastAsia="仿宋" w:cs="宋体"/>
          <w:kern w:val="0"/>
          <w:sz w:val="32"/>
          <w:szCs w:val="32"/>
        </w:rPr>
        <w:t>附件2：</w:t>
      </w:r>
    </w:p>
    <w:p w14:paraId="0B25373D">
      <w:pPr>
        <w:spacing w:line="540" w:lineRule="exact"/>
        <w:jc w:val="center"/>
        <w:rPr>
          <w:rFonts w:ascii="华文中宋" w:hAnsi="华文中宋" w:eastAsia="华文中宋" w:cs="宋体"/>
          <w:b/>
          <w:kern w:val="0"/>
          <w:sz w:val="52"/>
          <w:szCs w:val="52"/>
        </w:rPr>
      </w:pPr>
    </w:p>
    <w:p w14:paraId="5168229D">
      <w:pPr>
        <w:spacing w:line="540" w:lineRule="exact"/>
        <w:jc w:val="center"/>
        <w:rPr>
          <w:rFonts w:ascii="华文中宋" w:hAnsi="华文中宋" w:eastAsia="华文中宋" w:cs="宋体"/>
          <w:b/>
          <w:kern w:val="0"/>
          <w:sz w:val="52"/>
          <w:szCs w:val="52"/>
        </w:rPr>
      </w:pPr>
    </w:p>
    <w:p w14:paraId="736B4875">
      <w:pPr>
        <w:spacing w:line="540" w:lineRule="exact"/>
        <w:jc w:val="center"/>
        <w:rPr>
          <w:rFonts w:ascii="华文中宋" w:hAnsi="华文中宋" w:eastAsia="华文中宋" w:cs="宋体"/>
          <w:b/>
          <w:kern w:val="0"/>
          <w:sz w:val="52"/>
          <w:szCs w:val="52"/>
        </w:rPr>
      </w:pPr>
    </w:p>
    <w:p w14:paraId="4018FA79">
      <w:pPr>
        <w:spacing w:line="540" w:lineRule="exact"/>
        <w:jc w:val="center"/>
        <w:rPr>
          <w:rFonts w:ascii="华文中宋" w:hAnsi="华文中宋" w:eastAsia="华文中宋" w:cs="宋体"/>
          <w:b/>
          <w:kern w:val="0"/>
          <w:sz w:val="52"/>
          <w:szCs w:val="52"/>
        </w:rPr>
      </w:pPr>
    </w:p>
    <w:p w14:paraId="2E8184C6">
      <w:pPr>
        <w:spacing w:line="540" w:lineRule="exact"/>
        <w:jc w:val="center"/>
        <w:rPr>
          <w:rFonts w:ascii="华文中宋" w:hAnsi="华文中宋" w:eastAsia="华文中宋" w:cs="宋体"/>
          <w:b/>
          <w:kern w:val="0"/>
          <w:sz w:val="52"/>
          <w:szCs w:val="52"/>
        </w:rPr>
      </w:pPr>
    </w:p>
    <w:p w14:paraId="21775789">
      <w:pPr>
        <w:spacing w:line="540" w:lineRule="exact"/>
        <w:jc w:val="center"/>
        <w:rPr>
          <w:rFonts w:ascii="华文中宋" w:hAnsi="华文中宋" w:eastAsia="华文中宋" w:cs="宋体"/>
          <w:b/>
          <w:kern w:val="0"/>
          <w:sz w:val="52"/>
          <w:szCs w:val="52"/>
        </w:rPr>
      </w:pPr>
    </w:p>
    <w:p w14:paraId="69D235AF">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项目支出绩效自评报告</w:t>
      </w:r>
    </w:p>
    <w:p w14:paraId="77CA5C70">
      <w:pPr>
        <w:spacing w:line="540" w:lineRule="exact"/>
        <w:jc w:val="center"/>
        <w:rPr>
          <w:rFonts w:ascii="华文中宋" w:hAnsi="华文中宋" w:eastAsia="华文中宋" w:cs="宋体"/>
          <w:b/>
          <w:kern w:val="0"/>
          <w:sz w:val="52"/>
          <w:szCs w:val="52"/>
        </w:rPr>
      </w:pPr>
    </w:p>
    <w:p w14:paraId="17A7A2D1">
      <w:pPr>
        <w:spacing w:line="54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楷体" w:hAnsi="楷体" w:eastAsia="楷体"/>
          <w:spacing w:val="-4"/>
          <w:sz w:val="32"/>
          <w:szCs w:val="32"/>
        </w:rPr>
        <w:t>2023</w:t>
      </w:r>
      <w:r>
        <w:rPr>
          <w:rFonts w:hint="eastAsia" w:hAnsi="宋体" w:eastAsia="仿宋_GB2312" w:cs="宋体"/>
          <w:kern w:val="0"/>
          <w:sz w:val="36"/>
          <w:szCs w:val="36"/>
        </w:rPr>
        <w:t xml:space="preserve">  年度）</w:t>
      </w:r>
    </w:p>
    <w:p w14:paraId="32590CA5">
      <w:pPr>
        <w:spacing w:line="540" w:lineRule="exact"/>
        <w:jc w:val="center"/>
        <w:rPr>
          <w:rFonts w:hAnsi="宋体" w:eastAsia="仿宋_GB2312" w:cs="宋体"/>
          <w:kern w:val="0"/>
          <w:sz w:val="30"/>
          <w:szCs w:val="30"/>
        </w:rPr>
      </w:pPr>
    </w:p>
    <w:p w14:paraId="322F0881">
      <w:pPr>
        <w:spacing w:line="540" w:lineRule="exact"/>
        <w:jc w:val="center"/>
        <w:rPr>
          <w:rFonts w:hAnsi="宋体" w:eastAsia="仿宋_GB2312" w:cs="宋体"/>
          <w:kern w:val="0"/>
          <w:sz w:val="30"/>
          <w:szCs w:val="30"/>
        </w:rPr>
      </w:pPr>
    </w:p>
    <w:p w14:paraId="157C555C">
      <w:pPr>
        <w:spacing w:line="540" w:lineRule="exact"/>
        <w:jc w:val="center"/>
        <w:rPr>
          <w:rFonts w:hAnsi="宋体" w:eastAsia="仿宋_GB2312" w:cs="宋体"/>
          <w:kern w:val="0"/>
          <w:sz w:val="30"/>
          <w:szCs w:val="30"/>
        </w:rPr>
      </w:pPr>
    </w:p>
    <w:p w14:paraId="2E7401A4">
      <w:pPr>
        <w:spacing w:line="540" w:lineRule="exact"/>
        <w:jc w:val="center"/>
        <w:rPr>
          <w:rFonts w:hAnsi="宋体" w:eastAsia="仿宋_GB2312" w:cs="宋体"/>
          <w:kern w:val="0"/>
          <w:sz w:val="30"/>
          <w:szCs w:val="30"/>
        </w:rPr>
      </w:pPr>
    </w:p>
    <w:p w14:paraId="62C17281">
      <w:pPr>
        <w:spacing w:line="540" w:lineRule="exact"/>
        <w:jc w:val="center"/>
        <w:rPr>
          <w:rFonts w:hAnsi="宋体" w:eastAsia="仿宋_GB2312" w:cs="宋体"/>
          <w:kern w:val="0"/>
          <w:sz w:val="30"/>
          <w:szCs w:val="30"/>
        </w:rPr>
      </w:pPr>
    </w:p>
    <w:p w14:paraId="51416919">
      <w:pPr>
        <w:spacing w:line="540" w:lineRule="exact"/>
        <w:jc w:val="center"/>
        <w:rPr>
          <w:rFonts w:hAnsi="宋体" w:eastAsia="仿宋_GB2312" w:cs="宋体"/>
          <w:kern w:val="0"/>
          <w:sz w:val="30"/>
          <w:szCs w:val="30"/>
        </w:rPr>
      </w:pPr>
    </w:p>
    <w:p w14:paraId="6D622772">
      <w:pPr>
        <w:spacing w:line="540" w:lineRule="exact"/>
        <w:rPr>
          <w:rFonts w:hAnsi="宋体" w:eastAsia="仿宋_GB2312" w:cs="宋体"/>
          <w:kern w:val="0"/>
          <w:sz w:val="30"/>
          <w:szCs w:val="30"/>
        </w:rPr>
      </w:pPr>
    </w:p>
    <w:p w14:paraId="425FA648">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14:paraId="461CD989">
      <w:pPr>
        <w:spacing w:line="700" w:lineRule="exact"/>
        <w:ind w:firstLine="900" w:firstLineChars="250"/>
        <w:jc w:val="left"/>
        <w:rPr>
          <w:rFonts w:hAnsi="宋体" w:eastAsia="仿宋_GB2312" w:cs="宋体"/>
          <w:kern w:val="0"/>
          <w:sz w:val="36"/>
          <w:szCs w:val="36"/>
        </w:rPr>
      </w:pPr>
      <w:r>
        <w:rPr>
          <w:rFonts w:hint="eastAsia" w:hAnsi="宋体" w:eastAsia="仿宋_GB2312" w:cs="宋体"/>
          <w:kern w:val="0"/>
          <w:sz w:val="36"/>
          <w:szCs w:val="36"/>
        </w:rPr>
        <w:t>项目名称：</w:t>
      </w:r>
      <w:r>
        <w:rPr>
          <w:rStyle w:val="18"/>
          <w:rFonts w:hint="eastAsia" w:ascii="楷体" w:hAnsi="楷体" w:eastAsia="楷体"/>
          <w:spacing w:val="-4"/>
          <w:sz w:val="32"/>
          <w:szCs w:val="32"/>
        </w:rPr>
        <w:t>2023年食品抽检费项目</w:t>
      </w:r>
    </w:p>
    <w:p w14:paraId="088E3A75">
      <w:pPr>
        <w:spacing w:line="540" w:lineRule="exact"/>
        <w:ind w:firstLine="567"/>
        <w:rPr>
          <w:rFonts w:ascii="楷体" w:hAnsi="楷体" w:eastAsia="楷体"/>
          <w:b/>
          <w:bCs/>
          <w:spacing w:val="-4"/>
          <w:sz w:val="32"/>
          <w:szCs w:val="32"/>
        </w:rPr>
      </w:pPr>
      <w:r>
        <w:rPr>
          <w:rFonts w:hint="eastAsia" w:hAnsi="宋体" w:eastAsia="仿宋_GB2312" w:cs="宋体"/>
          <w:kern w:val="0"/>
          <w:sz w:val="36"/>
          <w:szCs w:val="36"/>
        </w:rPr>
        <w:t xml:space="preserve">  实施单位（公章）：</w:t>
      </w:r>
      <w:r>
        <w:rPr>
          <w:rStyle w:val="18"/>
          <w:rFonts w:hint="eastAsia" w:ascii="楷体" w:hAnsi="楷体" w:eastAsia="楷体"/>
          <w:spacing w:val="-4"/>
          <w:sz w:val="28"/>
          <w:szCs w:val="28"/>
        </w:rPr>
        <w:t>和田地区市场监督管理局</w:t>
      </w:r>
    </w:p>
    <w:p w14:paraId="42DACD05">
      <w:pPr>
        <w:spacing w:line="540" w:lineRule="exact"/>
        <w:ind w:firstLine="900" w:firstLineChars="250"/>
        <w:rPr>
          <w:rFonts w:ascii="楷体" w:hAnsi="楷体" w:eastAsia="楷体"/>
          <w:b/>
          <w:bCs/>
          <w:spacing w:val="-4"/>
          <w:sz w:val="28"/>
          <w:szCs w:val="28"/>
        </w:rPr>
      </w:pPr>
      <w:r>
        <w:rPr>
          <w:rFonts w:hint="eastAsia" w:hAnsi="宋体" w:eastAsia="仿宋_GB2312" w:cs="宋体"/>
          <w:kern w:val="0"/>
          <w:sz w:val="36"/>
          <w:szCs w:val="36"/>
        </w:rPr>
        <w:t>主管部门（公章）：</w:t>
      </w:r>
      <w:r>
        <w:rPr>
          <w:rStyle w:val="18"/>
          <w:rFonts w:hint="eastAsia" w:ascii="楷体" w:hAnsi="楷体" w:eastAsia="楷体"/>
          <w:spacing w:val="-4"/>
          <w:sz w:val="28"/>
          <w:szCs w:val="28"/>
        </w:rPr>
        <w:t>和田地区市场监督管理局</w:t>
      </w:r>
    </w:p>
    <w:p w14:paraId="1DCBCFFE">
      <w:pPr>
        <w:spacing w:line="540" w:lineRule="exact"/>
        <w:ind w:firstLine="900" w:firstLineChars="250"/>
        <w:rPr>
          <w:rFonts w:ascii="楷体" w:hAnsi="楷体" w:eastAsia="楷体"/>
          <w:b/>
          <w:bCs/>
          <w:spacing w:val="-4"/>
          <w:sz w:val="32"/>
          <w:szCs w:val="32"/>
        </w:rPr>
      </w:pPr>
      <w:r>
        <w:rPr>
          <w:rFonts w:hint="eastAsia" w:hAnsi="宋体" w:eastAsia="仿宋_GB2312" w:cs="宋体"/>
          <w:kern w:val="0"/>
          <w:sz w:val="36"/>
          <w:szCs w:val="36"/>
        </w:rPr>
        <w:t>项目负责人（签章）：</w:t>
      </w:r>
      <w:r>
        <w:rPr>
          <w:rStyle w:val="18"/>
          <w:rFonts w:hint="eastAsia" w:ascii="楷体" w:hAnsi="楷体" w:eastAsia="楷体"/>
          <w:spacing w:val="-4"/>
          <w:sz w:val="32"/>
          <w:szCs w:val="32"/>
        </w:rPr>
        <w:t>周长龙</w:t>
      </w:r>
    </w:p>
    <w:p w14:paraId="736A4092">
      <w:pPr>
        <w:spacing w:line="540" w:lineRule="exact"/>
        <w:ind w:left="273" w:firstLine="567"/>
        <w:rPr>
          <w:rStyle w:val="18"/>
          <w:rFonts w:ascii="楷体" w:hAnsi="楷体" w:eastAsia="楷体"/>
          <w:spacing w:val="-4"/>
          <w:sz w:val="32"/>
          <w:szCs w:val="32"/>
        </w:rPr>
      </w:pPr>
      <w:r>
        <w:rPr>
          <w:rFonts w:hint="eastAsia" w:hAnsi="宋体" w:eastAsia="仿宋_GB2312" w:cs="宋体"/>
          <w:kern w:val="0"/>
          <w:sz w:val="36"/>
          <w:szCs w:val="36"/>
        </w:rPr>
        <w:t>填报时间：</w:t>
      </w:r>
      <w:r>
        <w:rPr>
          <w:rStyle w:val="18"/>
          <w:rFonts w:hint="eastAsia" w:ascii="楷体" w:hAnsi="楷体" w:eastAsia="楷体"/>
          <w:spacing w:val="-4"/>
          <w:sz w:val="32"/>
          <w:szCs w:val="32"/>
        </w:rPr>
        <w:t>2024年05月16日</w:t>
      </w:r>
    </w:p>
    <w:p w14:paraId="6C2BE372">
      <w:pPr>
        <w:spacing w:line="700" w:lineRule="exact"/>
        <w:ind w:firstLine="708" w:firstLineChars="236"/>
        <w:jc w:val="left"/>
        <w:rPr>
          <w:rFonts w:hAnsi="宋体" w:eastAsia="仿宋_GB2312" w:cs="宋体"/>
          <w:kern w:val="0"/>
          <w:sz w:val="30"/>
          <w:szCs w:val="30"/>
        </w:rPr>
      </w:pPr>
    </w:p>
    <w:p w14:paraId="38F097DC">
      <w:pPr>
        <w:spacing w:line="540" w:lineRule="exact"/>
        <w:rPr>
          <w:rStyle w:val="18"/>
          <w:rFonts w:ascii="黑体" w:hAnsi="黑体" w:eastAsia="黑体"/>
          <w:b w:val="0"/>
          <w:spacing w:val="-4"/>
          <w:sz w:val="32"/>
          <w:szCs w:val="32"/>
        </w:rPr>
      </w:pPr>
    </w:p>
    <w:p w14:paraId="6BD6B65E">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一、基本情况</w:t>
      </w:r>
    </w:p>
    <w:p w14:paraId="71F2E127">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（一）项目概况</w:t>
      </w:r>
    </w:p>
    <w:p w14:paraId="381D1F98">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1.项目背景</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为进一步加强食品安全监管、全面掌握和田地区食品安全总体状况，以发现食品安全问题为导向，及时发现苗头性、系统性、区域性食品安全风险和问题，有效预防食品安全事故发生，确保公众饮食安全，根据《自治区市场监督管理局关于印发2023年全系统食品安全抽检监测计划的通知》，依据《中华人民共和国食品安全法》及其实施条例、《食品安全抽样检验管理办法》《食用农产品抽样检验和核查处置规定》等有关规定，结合地区实际，为全面掌握和田地区食品安全形势和质量状况，分析食品生产、流通、餐饮服务环节食品安全问题，及时发现食品安全隐患，查处食品生产经营者存在的违法行为，提升食品安全监管的针对性和有效性，根据自治区市场监督管理局抽检要求，以满足人民群众美好生活对安全健康食品的需要为目标，以食品安全抽样检验为抓手，以发现食品安全问题为导向，以监督抽检与信息公布、核查处置联动为保障，有效防控苗头性、系统性、区域性食品安全风险，推动食品生产经营者落实食品安全主体责任，促进食品产业健康有序发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2.主要内容</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地区本级监督抽检任务2247批次。其中小作坊食品150批次、餐饮食品655批次、食用农产品1054批次、专项抽检348批次、“你点我检”40批次。</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地区局统筹安排各县（市）局抽检任务，以辖区内中型餐饮单位餐饮食品、地方特色食品、市售食用农产品抽检为主，重点对当地中小型食品经营环节和中小型农产品批发市场开展抽检，自选品种和项目应结合农产品交易场所数量、消费量和农产品产销季节特点等实际情况，以问题为导向，经自治区局予以确定或确认后实施。按自治区局统一安排，可对辖区内在产获证企业开展抽检。</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3.实施情况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实施主体：和田地区市场监督管理局。</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实施时间：本项目实施期限为2023年4月—2023年12月。</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实施情况：本项目的实施符合《自治区市场监督管理局关于印发2023年全系统食品安全抽检监测计划的通知》（新市监食检〔2023〕35号）文件要求，县（市）局应根据有关食品安全法律法规、规章以及相关工作规定的要求，选择具备与承检任务中食品品种、检测项目、检品数量等相适应有检验检测能力和有相关资质的承检机构,且不合格率不低于自治区规定比例，严格执行食用农产品监管人员陪同抽样，并开展现场监督检查取证和记录产品溯源信息，对检出不合格的食品生产、经营者开展跟踪抽检，根据各地任务完成进度、抽检工作质量、核查处置情况、信息公布等抽检工作情况适时进行通报并纳入食品安全考核评议。</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2023年地区市场监管部门应完成食品安全抽检监测任务 0.89批次/千人。我局于2023年4月24日以竞争性磋商方式完成招标工作，按照全年均衡完成抽检任务，月度推进率达到8.00%，于12月15日前全面完成了2247批次小作坊食品、餐饮食品、食用农产品、专项抽检、“你点我检”抽检任务，最大限度消除不安全风险，</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4.资金投入和使用情况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（1）项目资金安排落实、总投入等情况分析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本项目预算安排总额为216.00万元，资金来源为本级部门预算，其中：财政资金216.00万元，其他资金0.00万元，2023年实际收到预算资金216.00万元，预算资金到位率为100.00%。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（2）项目资金实际使用情况分析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本项目实际支付资金216.00万元，预算执行率100.00%。本项目资金主要用于支付抽检费用216.00万元。</w:t>
      </w:r>
    </w:p>
    <w:p w14:paraId="00012010">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（二）项目绩效目标</w:t>
      </w:r>
    </w:p>
    <w:p w14:paraId="3EA34F28">
      <w:pPr>
        <w:spacing w:line="540" w:lineRule="exact"/>
        <w:ind w:firstLine="567"/>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1.总体目标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目标1：完成食品抽检任务，保障食品安全。 目标2、2023年地区食品安全抽检监测任务应达到0.92批次/千人以上，在全地区范围内针对食品经营环节开展抽样检验，共需完成餐饮食品和食用农产品抽检任务2119批次（包含餐饮食品、小作坊食品、食用农产品）。</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2.阶段性目标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根据《中华人民共和国预算法》、《财政支出绩效评价管理暂行办法》（财预〔2020〕10号）、《中共中央国务院关于全面实施预算绩效管理的意见》（中发〔2018〕34号）、《自治区党委自治区人民政府关于全面实施预算绩效管理的实施意见》（新党发〔2018〕30号）、《自治区财政支出绩效评价管理暂行办法》（新财预〔2018〕189号）的规定，结合我单位的规章制度以及项目实施和财务相关资料，评价小组对项目绩效指标进行了进一步的完善，完善后绩效指标如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（1）项目产出指标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①数量指标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“食品安全风险监测抽检批次（批次）”指标，预期指标值为&gt;=2119批次；</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“食品安全风险监测抽检样品数（批次/千人）”指标，预期指标值为&gt;=0.92批次/千人；</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“食品安全监督抽查频次（次）”指标，预期指标值为&gt;=12次；</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②质量指标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“检验批次达标率（%）”指标，预期指标值为&gt;=90.00%；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“食品安全监督抽检合格率（%）”指标，预期指标值&gt;=90.00%；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③时效指标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“抽检活动完成及时率（%）”指标，预期指标值为=100.00%；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④成本指标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“食品抽检经费（万元）”指标，预期指标值为&lt;=216.00万元；</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（2）项目效益指标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①经济效益指标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无此类指标；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②社会效益指标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“抽检不合格食品处理率（%）”指标，预期指标值为&gt;=95.00%；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“检查结果公开率（%）”指标，预期指标值为=100.00%；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③生态效益指标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无此类指标；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④可持续影响</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无此类指标；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⑤满意度指标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“服务对象满意度（%）”指标，预期指标值为&gt;=95.00%。</w:t>
      </w:r>
    </w:p>
    <w:p w14:paraId="5BB090F1">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二、绩效评价工作开展情况</w:t>
      </w:r>
    </w:p>
    <w:p w14:paraId="768122D8">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（一）绩效评价目的、对象和范围</w:t>
      </w:r>
    </w:p>
    <w:p w14:paraId="514D11DE">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1.绩效评价的目的</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为全面实施预算绩效管理，建立科学、合理的项目支出绩效评价管理体系，提高财政资源配置效率和使用效益，根据财政部印发《项目支出绩效评价管理办法》（财预〔2020〕10号）《自治区财政支出绩效评价管理暂行办法》（新财预〔2018〕189号）文件精神，我单位针对食品抽检经费项目开展本次部门项目支出绩效评价工作。通过绩效评价，促进本单位发现问题、总结经验、改进工作。绩效评价旨在评价本项目前期审批、实施过程及实施效果，促进预算管理不断完善，加快绩效目标的实现，保证财政资金有效、合理使用，具体绩效评价的目的细分如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一是：通过部门项目支出绩效评价，进一步严格落实《中华人民共和国预算法》以及党中央、国务院关于加强预算绩效管理的指示精神，建立健全“花钱必问效、无效必问责”的绩效预算管理机制，提升财政资金的使用效能。</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是：通过部门项目支出绩效评价，进一步做实绩效目标，根据项目绩效目标设立情况，细化形成多维度绩效指标，将绩效指标细化为数量指标、质量指标、时效指标、成本指标、经济效益指标、社会效益指标、可持续影响指标、服务对象满意度指标等内容，保证项目绩效指标设置科学、规范、合理、可衡量。</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三是：通过部门项目支出绩效评价，进一步纠正对绩效管理理解上的偏差，建立更加全面科学的绩效指标体系，督促在预算编制中，将资金申请、绩效目标和具体指标统筹考虑，形成“花钱问效”的责任契约机制，进一步强化预算绩效管理的严肃性和约束力，推动绩效管理向全方位的绩效预算转变，逐步建立“以绩效目标为导向，以绩效评价为手段，以评价结果应用为保障，全方位、全覆盖、全过程”的绩效预算管理新体制。</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四是：通过部门项目支出绩效评价，从绩效的角度发现本项目在决策、实施和管理过程中存在的问题，寻求解决方案，为进一步深化项目管理工作提供依据，以促进项目进一步的推进和后期项目维护和评价工作提供更深一步的理论和实际支持。</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2.绩效评价对象</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此次我单位根据《财政支出绩效评价管理暂行办法》（财预〔2020〕10号）文件要求实施评价工作，本次评价对象为2023年食品抽检费项目，评价核心为项目的资金投入、产出及效益。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3.绩效评价范围</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次绩效评价主要围绕项目资金使用情况和财务管理状况；资产配置、使用、处置及其收益管理情况；项目管理相关制度及措施是否被认真执行；绩效目标的实现程度（包括是否达到预定产出和效果）等方面进行综合绩效评价。</w:t>
      </w:r>
    </w:p>
    <w:p w14:paraId="2794346C">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（二）绩效评价原则、评价指标体系、评价方法、评价标准</w:t>
      </w:r>
    </w:p>
    <w:p w14:paraId="42263D09">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1.绩效评价原则</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依据《中华人民共和国预算法》《中共 中央国务院关于全面实施预算绩效管理的意见》（中发〔2018〕34号）《项目支出绩效评价管理办法》（财预〔2020〕10号》《自治区党委自治区人民政府关于全面实施预算绩效管理的实施意见》（新党发〔2018〕30号）《自治区财政支出绩效评价管理暂行办法》（新财预〔2018〕189号）等要求，绩效评价应遵循如下原则：</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（1）科学公正。绩效评价应当运用科学合理的方法，按照规范的程序，对项目绩效进行客观、公正的反映。</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统筹兼顾。单位自评、部门评价和财政评价应职责明确，各有侧重，相互衔接。单位自评应由项目单位自主实施，即“谁支出、谁自评”。部门评价和财政评价应在单位自评的基础上开展，必要时可委托第三方机构实施。</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（3）激励约束。绩效评价结果应与预算安排、政策调整、改进管理实质性挂钩，体现奖优罚劣和激励相容导向，有效要安排、低效要压减、无效要问责。</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（4）公开透明。绩效评价结果应依法依规公开，并自觉接受社会监督。</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根据以上原则，绩效评价应遵循如下要求:</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（1）在数据采集时，采取客观数据，主管部门审查、社会中介组织复查，与问卷调查相结合的形式，以保证各项指标的真实性。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（2）保证评价结果的真实性、公正性，提高评价报告的公信力。</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w:t>
      </w:r>
      <w:r>
        <w:rPr>
          <w:rStyle w:val="18"/>
          <w:rFonts w:hint="eastAsia" w:ascii="楷体" w:hAnsi="楷体" w:eastAsia="楷体"/>
          <w:b w:val="0"/>
          <w:bCs w:val="0"/>
          <w:spacing w:val="-4"/>
          <w:sz w:val="32"/>
          <w:szCs w:val="32"/>
          <w:lang w:val="en-US" w:eastAsia="zh-CN"/>
        </w:rPr>
        <w:t>绩效</w:t>
      </w:r>
      <w:r>
        <w:rPr>
          <w:rStyle w:val="18"/>
          <w:rFonts w:hint="eastAsia" w:ascii="楷体" w:hAnsi="楷体" w:eastAsia="楷体"/>
          <w:b w:val="0"/>
          <w:bCs w:val="0"/>
          <w:spacing w:val="-4"/>
          <w:sz w:val="32"/>
          <w:szCs w:val="32"/>
        </w:rPr>
        <w:t>评价报告应当简明扼要，除了对绩效评价的过程、结果描述外，还应总结经验，指出问题，并就共性问题提出可操作性改进建议。评价工作组本着科学规范、公平公正、绩效相关的原则，采用全面、重点、现场和非现场相结合的方式进行评价。</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2.绩效评价指标体系</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我单位通过实施资料研读及前期调研，结合项目的实际开展情况，按照《项目支出绩效评价管理办法》（财预〔2020〕10号）文件要求，结合项目特点，经与专家组充分协商，设置指标体系结构如下：设置一级指标共4个，包括：决策指标（21%）、过程指标（19%）、产出指标（20%）、效益指标（40%）四类指标。主要围绕资金使用、项目管理、资源配置等方面，客观分析项目的产出和效果，从而考察项目预算定额标准的合理性，进而提出完善意见。整个评价框架构成体现从投入、过程到产出、效果和影响的绩效逻辑路径。详细指标体系见“附件1：绩效评价体系”。</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3.评价方法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绩效评价方法主要包括成本效益分析法、比较法、因素分析法、最低成本法、公众评判法、标杆管理法等。我单位根据本项目资金的性质和特点，选用比较法、因素分析法、公众评判法以及文献法对项目进行评价，旨在通过综合分析影响绩效目标实现、实施效果的内外部因素，从而评价本项目绩效。</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三级指标分析环节：总体采用比较法，同时辅以文献法、成本效益法、因素分析法以及公众评判法，根据不同三级指标类型进行逐项分析。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定量指标分析环节：主要采用对比三级指标预期指标值和三级指标截止评价日的完成情况，综合分析绩效目标实现程度。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②定性指标分析环节：主要采用公众评判法，通过问卷及抽样调查等方式评价本项目实施后社会公众对于其实施效果的满意程度，将调研结果按照《项目支出绩效评价管理办法》（财预〔2020〕10号）文要求分为达成年度指标、部分达成年度指标并具有一定效果、未达成年度指标且效果较差三档，分别按照该指标对应分值区间100.00%-80%（含）、80%-60%（含）、60%-0%合理确定分值，详细评价方法的应用如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立项依据充分性：比较法、文献法，查找法律法规政策以及规划，对比实际执行内容和政策支持内容是否匹配。</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立项程序规范性：比较法、文献法，查找相关项目设立的政策和文件要求，对比分析实际执行程序是否按照政策及文件要求执行，分析立项程序的规范性。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绩效目标合理性：比较法，对比分析年初编制项目支出绩效目标表与项目内容的相关性、资金的匹配性等。</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绩效指标明确性：比较法，比较分析年初编制项目支出绩效目标表是否符合双七原则，是否可衡量。</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预算编制科学性</w:t>
      </w:r>
      <w:r>
        <w:rPr>
          <w:rStyle w:val="18"/>
          <w:rFonts w:hint="eastAsia" w:ascii="楷体" w:hAnsi="楷体" w:eastAsia="楷体"/>
          <w:b w:val="0"/>
          <w:bCs w:val="0"/>
          <w:spacing w:val="-4"/>
          <w:sz w:val="32"/>
          <w:szCs w:val="32"/>
        </w:rPr>
        <w:tab/>
        <w:t>成本效益分析法</w:t>
      </w:r>
      <w:r>
        <w:rPr>
          <w:rStyle w:val="18"/>
          <w:rFonts w:hint="eastAsia" w:ascii="楷体" w:hAnsi="楷体" w:eastAsia="楷体"/>
          <w:b w:val="0"/>
          <w:bCs w:val="0"/>
          <w:spacing w:val="-4"/>
          <w:sz w:val="32"/>
          <w:szCs w:val="32"/>
        </w:rPr>
        <w:tab/>
        <w:t>分析在产出一定的情况下，成本取值是否有依据，是否经过询价，是否按照市场最低成本编制。</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资金分配合理性：因素分析法，综合分析资金的分配依据是否充分，分配金额是否与项目实施单位需求金额一致，</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资金到位率：比较法，资金到位率预期指标值应为100.00%，通过实际计算，分析实际完成值和预期指标值之间的差距和原因。</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预算执行率：比较法，预算执行率预期指标值应为100.00%，通过实际计算，分析实际完成值和预期指标值之间的差距和原因。</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资金使用合规性：文献法、实地勘察法，一是查找资金管理办法，包括专项资金管理办法和单位自有资金管理办法；二是通过查账了解具体开支情况，是否专用专用，是否按照标准支出。</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管理制度健全性：文献法、比较法，查阅项目实施人员提供的财务和业务管理制度，将已建立的制度与现行的法律法规和政策要求进行对比，分析项目制度的合法性、合规性、完整性。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制度执行有效性：比较法，结合项目实际实施过程性文件，根据已建设的财务管理制度和项目管理制度综合分析制度执行的有效性。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定量指标：比较法，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定性指标：公众评判法，通过问卷及抽样调查等方式评价本项目实施后社会公众对于其实施效果的满意程度。</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4.评价标准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绩效评价标准通常包括计划标准、行业标准、历史标准等。本次绩效评价采用计划标准，以预先制定的目标、计划、预算、定额等作为评价标准，对比分析项目产出、效益的完成情况。对于定性指标，通过问卷调查及访谈方式，采集相关数据，运用等级描述法，设置分级标准，体现该指标认可程度的差异。对于定量指标，通过公式等方式予以量化，可以准确衡量，并设定目标值的考核指标。</w:t>
      </w:r>
    </w:p>
    <w:p w14:paraId="1C05A27E">
      <w:pPr>
        <w:spacing w:line="540" w:lineRule="exact"/>
        <w:ind w:firstLine="567" w:firstLineChars="181"/>
        <w:rPr>
          <w:rStyle w:val="18"/>
          <w:rFonts w:hint="eastAsia" w:ascii="楷体" w:hAnsi="楷体" w:eastAsia="楷体"/>
          <w:spacing w:val="-4"/>
          <w:sz w:val="32"/>
          <w:szCs w:val="32"/>
        </w:rPr>
      </w:pPr>
      <w:r>
        <w:rPr>
          <w:rStyle w:val="18"/>
          <w:rFonts w:hint="eastAsia" w:ascii="楷体" w:hAnsi="楷体" w:eastAsia="楷体"/>
          <w:spacing w:val="-4"/>
          <w:sz w:val="32"/>
          <w:szCs w:val="32"/>
        </w:rPr>
        <w:t>（三）绩效评价工作过程</w:t>
      </w:r>
    </w:p>
    <w:p w14:paraId="4BBD8011">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1.前期准备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我单位于202</w:t>
      </w:r>
      <w:r>
        <w:rPr>
          <w:rStyle w:val="18"/>
          <w:rFonts w:hint="eastAsia" w:ascii="楷体" w:hAnsi="楷体" w:eastAsia="楷体"/>
          <w:b w:val="0"/>
          <w:bCs w:val="0"/>
          <w:spacing w:val="-4"/>
          <w:sz w:val="32"/>
          <w:szCs w:val="32"/>
          <w:lang w:val="en-US" w:eastAsia="zh-CN"/>
        </w:rPr>
        <w:t>3</w:t>
      </w:r>
      <w:r>
        <w:rPr>
          <w:rStyle w:val="18"/>
          <w:rFonts w:hint="eastAsia" w:ascii="楷体" w:hAnsi="楷体" w:eastAsia="楷体"/>
          <w:b w:val="0"/>
          <w:bCs w:val="0"/>
          <w:spacing w:val="-4"/>
          <w:sz w:val="32"/>
          <w:szCs w:val="32"/>
        </w:rPr>
        <w:t>年1月10日，确定绩效评价工作小组，正式开始前期准备工作，通过对评价对象前期调研，确定了评价的目的、方法以及评价的原则，根据项目的内容和特征制定了评价指标体系及评价标准。绩效评价工作小组人员名单及分工如下：</w:t>
      </w:r>
      <w:r>
        <w:rPr>
          <w:rStyle w:val="18"/>
          <w:rFonts w:hint="eastAsia" w:ascii="楷体" w:hAnsi="楷体" w:eastAsia="楷体"/>
          <w:b w:val="0"/>
          <w:bCs w:val="0"/>
          <w:spacing w:val="-4"/>
          <w:sz w:val="32"/>
          <w:szCs w:val="32"/>
        </w:rPr>
        <w:cr/>
      </w:r>
      <w:bookmarkStart w:id="0" w:name="_GoBack"/>
      <w:bookmarkEnd w:id="0"/>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阿迪力·买提塞地（评价小组组长）：主要负责全程指导项目绩效评价工作，审核评价报告。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于玮（评价小组组员）：主要负责撰写项目支出部门评价报告，分析汇总数据。</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吐送尼沙（评价小组组员）：主要负责收集各项指标的佐证材料。</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2.组织实施</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2023年2月25日-3月15日，评价工作进入实施阶段。在数据采集方面，评价小组整理单位前期提交的资料，与项目实施负责人沟通，了解资金的内容、操作流程、管理机制、资金使用方向等情况并采集信息，了解项目设置背景及资金使用等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3.分析评价</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2023年3月16日-4月1日，评价小组按照绩效评价的原则和规范，对取得的资料进行审查核实，对采集的数据进行分析，按照绩效评价指标评分表逐项进行打分、分析、汇总各方评价结果。</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4.撰写与提交评价报告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2023年4月1日-4月15日评价小组撰写绩效评价报告，按照新疆维吾尔自治区财政绩效管理信息系统绩效评价模块中统一格式和文本框架撰写绩效评价报告并提交审核。</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5.问题整改</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经审核通过后，由评价小组将报告推送至项目实施人员，由项目实施人员根据报告评价结论、存在的问题以及改进建议落实问题整改，并形成整改报告，由评价小组负责监督和核查整改落实情况，确保绩效评价落到实处。</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6.档案整理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建立和落实档案管理制度，将项目相关资料存档，包括但不限于：评价项目基本情况和相关文件、评价实施方案、项目支付资料等相关档案。</w:t>
      </w:r>
    </w:p>
    <w:p w14:paraId="18FEBBED">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三、综合评价情况及评价结论</w:t>
      </w:r>
    </w:p>
    <w:p w14:paraId="3BBA1F2C">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（一）综合评价情况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经评价，本项目达成目标年初设立的绩效目标，在实施过程中取得了良好的成效，具体表现在以下三方面：</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一是：坚持问题导向，监检结合。提高了抽检工作时效性、“靶向性”，注重监检结合，从抽检计划制定、组织实施、核查处置、数据分析方面充分考虑与日常监管工作相结合，加强对生产经营主体进货查验、索证索票、台帐建立等关键环节的检查，规范经营行为。对食品抽检中发现的问题及时通报相关部门，加强源头管理；同时将在食品执法专项行动和投诉举报、食品安全舆情等反映的问题纳入食品抽检计划，做到高效抽检。</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二是：坚持信息公开，稳妥公布。进一步加强抽检信息管理，严格审核食品抽检公布信息，指定专人负责，按照“时度效”要求，稳妥公布。对不合格检验项目进行了解读，确保抽检结果对社会公开化、透明化。</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三是：坚持多形式宣传，提高公众认知度。结合“3·15活动”“食品安全宣传周”等活动，通过设立宣传栏、宣传横幅、发放宣传单等方式进行广泛宣传，为过往群众答疑解惑，普及食品抽检知识；通过网站、微信公众号等渠道，刊登宣传食品抽检政策规定，发动公众参与食品检验品种和检验项目的选择，增强公众对食品安全的认知度；结合“我为群众办实事”实践活动，进校园、进社区、进农贸市场，提高广大市民对校园食品抽检工作的知晓度。</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（二）评价结论</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此次绩效评价通过绩效评价小组论证的评价指标体系及评分标准，采用因素分析法和比较法对本项目绩效进行客观评价，最终评分结果：总分为99.90分，绩效评级为“优”。综合评价结论如下：本项目共设置三级指标数量21个，实现三级指标数量21个，总体完成率为99.90%。项目决策类指标共设置6个，满分指标6个，得分率100.00%；过程管理类指标共设置5个，满分指标5个，得分率100.00%；项目产出类指标共设置7个，满分指标6个，得分率99.51%；项目效益类指标共设置3个，满分指标3个，得分率100.00%，详细情况见“附件1：绩效评价体系”。</w:t>
      </w:r>
    </w:p>
    <w:p w14:paraId="74330F16">
      <w:pPr>
        <w:spacing w:line="540" w:lineRule="exact"/>
        <w:ind w:firstLine="640"/>
        <w:rPr>
          <w:rStyle w:val="18"/>
          <w:rFonts w:ascii="黑体" w:hAnsi="黑体" w:eastAsia="黑体"/>
        </w:rPr>
      </w:pPr>
      <w:r>
        <w:rPr>
          <w:rStyle w:val="18"/>
          <w:rFonts w:hint="eastAsia" w:ascii="黑体" w:hAnsi="黑体" w:eastAsia="黑体"/>
          <w:b w:val="0"/>
          <w:spacing w:val="-4"/>
          <w:sz w:val="32"/>
          <w:szCs w:val="32"/>
        </w:rPr>
        <w:t>四、绩效评价指标分析</w:t>
      </w:r>
      <w:r>
        <w:rPr>
          <w:rStyle w:val="18"/>
          <w:rFonts w:hint="eastAsia" w:ascii="黑体" w:hAnsi="黑体" w:eastAsia="黑体"/>
        </w:rPr>
        <w:t xml:space="preserve"> </w:t>
      </w:r>
    </w:p>
    <w:p w14:paraId="12E6C007">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w:t>
      </w:r>
      <w:r>
        <w:rPr>
          <w:rStyle w:val="18"/>
          <w:rFonts w:hint="eastAsia" w:ascii="楷体" w:hAnsi="楷体" w:eastAsia="楷体"/>
          <w:spacing w:val="-4"/>
          <w:sz w:val="32"/>
          <w:szCs w:val="32"/>
        </w:rPr>
        <w:t>项目决策情况</w:t>
      </w:r>
    </w:p>
    <w:p w14:paraId="77BEF4C3">
      <w:pPr>
        <w:tabs>
          <w:tab w:val="center" w:pos="4295"/>
        </w:tabs>
        <w:spacing w:line="540" w:lineRule="exact"/>
        <w:ind w:firstLine="567"/>
        <w:rPr>
          <w:rStyle w:val="18"/>
          <w:rFonts w:hint="eastAsia" w:ascii="楷体" w:hAnsi="楷体" w:eastAsia="楷体"/>
          <w:b w:val="0"/>
          <w:bCs w:val="0"/>
          <w:spacing w:val="-4"/>
          <w:sz w:val="32"/>
          <w:szCs w:val="32"/>
          <w:lang w:eastAsia="zh-CN"/>
        </w:rPr>
      </w:pPr>
      <w:r>
        <w:rPr>
          <w:rStyle w:val="18"/>
          <w:rFonts w:hint="eastAsia" w:ascii="楷体" w:hAnsi="楷体" w:eastAsia="楷体"/>
          <w:b w:val="0"/>
          <w:bCs w:val="0"/>
          <w:spacing w:val="-4"/>
          <w:sz w:val="32"/>
          <w:szCs w:val="32"/>
        </w:rPr>
        <w:t>项目决策类指标由3个二级指标和6个三级指标构成，权重分21.00分，实际得分21.00分。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1.项目立项情况分析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（1）立项依据充分性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本项目立项符合根据《自治区市场监督管理局关于印发2023年全系统食品安全抽检监测计划的通知》，中：“按照国务院食品安全办《2023年食品安全重点工作安排》中“市场监管部门食品抽检量达到 3批次/千人””；本项目立项符合《自治区市场监督管理局关于印发2023年全系统食品安全抽检监测计划的通知》中：“《自治区市场监管“十四五”规划》中“到 2025年，初步建立基于风险分析和供应链管理的食品安全监管体系，食品抽检总量稳定在4批次/千人以上”的目标要求，2023年全区市场监管部门应完成食品安全抽检监测任务 3.7批次/千人。”内容，符合行业发展规划和政策要求；本项目立项符合《和田地区市场监督管理局单位配置内设机构和人员编制规定》中职责范围中的“食品安全监督管理综合协调,食品安全监督管理。”，属于我单位履职所需；根据《财政资金直接支付申请书》，本项目资金性质为“公共财政预算”“2013899功能分类为其他市场监督管理事务”经济分类为“50205委托业务费”属于公共财政支持范围，符合中央、地方事权支出责任划分原则；经检查我单位财政应用平台指标，本项目不存在重复。</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综上所述，本指标满分为5.00分，根据评分标准得5.00分，本项目立项依据充分。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（2）立项程序规范性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为全面掌握和田地区食品安全形势和质量状况，分析食品生产、流通、餐饮服务环节食品安全问题，及时发现食品安全隐患，查处食品生产经营者存在的违法行为，提升食品安全监管的针对性和有效性，根据自治区市场监督管理局抽检要求，以满足人民群众美好生活对安全健康食品的需要为目标，以食品安全抽样检验为抓手，以发现食品安全问题为导向，以监督抽检与信息公布、核查处置联动为保障，有效防控苗头性、系统性、区域性食品安全风险，推动食品生产经营者落实食品安全主体责任，促进食品产业健康有序发展，从而设立此项目，编制实施方案并上报至财政局申请项目资金，项目立项过程中产生的文件均符合相关要求。本项目为特定类项目，属于经常性项目，项目预算金额为216.00万元，不涉及事前绩效评估和风险评估，已委托和田地区市场监督管理局完成本项目实施方案的编制。</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综上所述，本指标满分为3.00分，根据评分标准得3.00分，本项目立项程序合规。</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2.绩效目标情况分析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（1）绩效目标合理性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本项目已设置年度绩效目标，具体内容为“目标1：完成食品抽检任务，保障食品安全。 目标2、2023年地区食品安全抽检监测任务应达到0.92批次/千人以上，在全地区范围内针对食品经营环节开展抽样检验，共需完成餐饮食品和食用农产品抽检任务2119批次（包含餐饮食品、小作坊食品、食用农产品）”；本项目实际工作为：截止到2023年12月31日，本项目实际形成支出216.00万元，已完成食品抽检任务2247批次任务，食品安全风险监测抽检样品数（批次/千人）达到0.89批次/千人，食品抽检检查12次，达到了保障食品安全效益，服务对象满意度达到95.19%。绩效目标与实际工作内容一致，两者具有相关性;本项目按照绩效目标完成数量指标、质量指标、时效指标、成本指标，有效保障了食品安全风险，推动食品生产经营者落实食品安全主体责任，促进食品产业健康有序发展，年度绩效目标完成，预期产出效益和效果符合正常的业绩水平。</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综上所述，本指标满分为4.00分，根据评分标准得4.00分，本项目绩效目标设置合理。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（2）绩效指标明确性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经检查我单位年初设置的《项目支出绩效目标表》，得出如下结论：本项目已将年度绩效目标进行细化为绩效指标体系，共设置一级指标4个，二级指标6个，三级指标10个，定量指标10个，定性指标0个，指标量化率为100.00%，量化率达70.00%以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综上所述，本指标满分为3.00分，根据评分标准得3.00分，本项目所设置绩效指标明确。</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3.资金投入情况分析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（1）预算编制科学性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本项目预算编制通过市场询价，由新正检验检测有限公司、新疆维吾尔自治区产品质量监督检验研究院、华测检测认证集团北京有限公司，即预算编制较科学且经过论证；</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预算申请内容为完成食品抽检任务，保障食品安全。2023年地区食品安全抽检监测任务应达到0.92批次/千人以上，在全地区范围内针对食品经营环节开展抽样检验，共需完成餐饮食品和食用农产品抽检任务2119批次（包含餐饮食品、小作坊食品、食用农产品），项目实际内容为食品抽检任务2247批次任务，食品安全风险监测抽检样品数（批次/千人）达到0.89批次/千人，食品抽检检查12次，预算申请与《食品抽检项目实施方案》中涉及的项目内容匹配；</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本项目预算申请资金216万.00元，我单位在预算申请中严格按照单位标准和数量进行核算，本项目预算额度测算依据充分，严格按照标准编制，预算确定资金量与实际工作任务相匹配；</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综上所述，本指标满分为4.00分，根据评分标准得4.00分，本项目预算编制科学。</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（2）资金分配合理性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实际分配资金以《关于申请食品抽检经费项目资金的请示》和《食品抽检经费项目实施方案》为依据进行资金分配，预算资金分配依据充分。根据《食品抽检经费资金下达文件》文件显示，本项目实际到位资金216.00万元，实际分配资金与我单位提交申请的资金额度一致，资金分配额度合理，与我单位实际需求相适应。</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综上所述，本指标满分为2.00分，根据评分标准得2.00分，本项目资金分配合理。</w:t>
      </w:r>
      <w:r>
        <w:rPr>
          <w:rStyle w:val="18"/>
          <w:rFonts w:hint="eastAsia" w:ascii="楷体" w:hAnsi="楷体" w:eastAsia="楷体"/>
          <w:b w:val="0"/>
          <w:bCs w:val="0"/>
          <w:spacing w:val="-4"/>
          <w:sz w:val="32"/>
          <w:szCs w:val="32"/>
          <w:lang w:eastAsia="zh-CN"/>
        </w:rPr>
        <w:tab/>
      </w:r>
    </w:p>
    <w:p w14:paraId="3EEBE6E9">
      <w:pPr>
        <w:spacing w:line="540" w:lineRule="exact"/>
        <w:ind w:firstLine="567" w:firstLineChars="181"/>
        <w:rPr>
          <w:rStyle w:val="18"/>
          <w:rFonts w:hint="eastAsia" w:ascii="楷体" w:hAnsi="楷体" w:eastAsia="楷体"/>
          <w:b/>
          <w:spacing w:val="-4"/>
          <w:sz w:val="32"/>
          <w:szCs w:val="32"/>
        </w:rPr>
      </w:pPr>
      <w:r>
        <w:rPr>
          <w:rFonts w:hint="eastAsia" w:ascii="楷体" w:hAnsi="楷体" w:eastAsia="楷体"/>
          <w:b/>
          <w:spacing w:val="-4"/>
          <w:sz w:val="32"/>
          <w:szCs w:val="32"/>
        </w:rPr>
        <w:t>（</w:t>
      </w:r>
      <w:r>
        <w:rPr>
          <w:rFonts w:hint="eastAsia" w:ascii="楷体" w:hAnsi="楷体" w:eastAsia="楷体"/>
          <w:b/>
          <w:spacing w:val="-4"/>
          <w:sz w:val="32"/>
          <w:szCs w:val="32"/>
          <w:lang w:val="en-US" w:eastAsia="zh-CN"/>
        </w:rPr>
        <w:t>二</w:t>
      </w:r>
      <w:r>
        <w:rPr>
          <w:rFonts w:hint="eastAsia" w:ascii="楷体" w:hAnsi="楷体" w:eastAsia="楷体"/>
          <w:b/>
          <w:spacing w:val="-4"/>
          <w:sz w:val="32"/>
          <w:szCs w:val="32"/>
        </w:rPr>
        <w:t>）</w:t>
      </w:r>
      <w:r>
        <w:rPr>
          <w:rStyle w:val="18"/>
          <w:rFonts w:hint="eastAsia" w:ascii="楷体" w:hAnsi="楷体" w:eastAsia="楷体"/>
          <w:spacing w:val="-4"/>
          <w:sz w:val="32"/>
          <w:szCs w:val="32"/>
        </w:rPr>
        <w:t>项目过程情况</w:t>
      </w:r>
    </w:p>
    <w:p w14:paraId="77EEC761">
      <w:pPr>
        <w:spacing w:line="540" w:lineRule="exact"/>
        <w:ind w:firstLine="567"/>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项目过程管理类指标由2个二级指标和5个三级指标构成，权重分19.00分，实际得分19.00分。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1.资金管理情况分析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（1）资金到位率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本项目预算资金为216.00万元，其中：本级财政安排资金216.00万元，其他资金0.00万元，实际到位资金216.00万元，资金到位率=（实际到位资金/预算资金）×100.00%=100.00%。得分=资金到位率*分值=100.00%*4=4.00分。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综上所述，本指标满分为4.00分，根据评分标准得4.00分，本项目资金分配合理。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（2）预算执行率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本项目实际支出资金216.00万元，预算执行率=（实际支出资金/实际到位资金）×100.00%=（216.00/216.00）*100.00%=100.00%。得分=预算执行率*分值=100.00%*5=5.00分。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综上所述，本指标满分为5.00分，根据评分标准得5.00分，本项目资金分配合理。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（3）资金使用合规性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通过检查本项目签订的合同、资金申请文件、发票等财务付款凭证，得出本项目资金支出符合国家财经法规、《政府会计制度》以及《和田地区市场监督管理局资金管理办法》《食品抽检专项资金管理办法》，资金的拨付有完整的审批程序和手续，资金实际使用方向与预算批复用途一致，不存在截留、挤占、挪用、虚列支出的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综上所述，本指标满分为4.00分，根据评分标准得4.00分，资金支出符合我单位财务管理制度规定。</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2.组织实施情况分析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（1）管理制度健全性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我单位已制定《和田地区市场监督管理局资金管理办法》、《和田地区市场监督管理局收支业务管理制度》、《和田地区市场监督管理局政府采购业务管理制度》、《和田地区市场监督管理局合同管理制度》，上述已建立的制度均符合行政事业单位内控管理要求，财务和业务管理制度合法、合规、完整，本项目执行符合上述制度规定。</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综上所述，本指标满分为2.00分，根据评分标准得2.00分，项目制度建设健全。</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（2）制度执行有效性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经对比分析本项目实际执行过程资料和已建立的项目管理制度和财务管理制度，得出本项目严格按照本单位已建立制度执行。项目资金支出严格按照自治区、地区、市以及本单位资金管理办法执行，项目启动实施后，为了加快本项目的实施，成立了食品抽检项目工作领导小组，由党组书记周长龙任组长，负责项目的组织工作；张新昱任副组长，负责项目的实施工作；组员包括：代禄君和向甜，主要负责项目监督管理、验收以及资金核拨等工作。</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综上所述，本指标满分为4.00分，根据评分标准得4.00分，本项目所建立制度执行有效。</w:t>
      </w:r>
    </w:p>
    <w:p w14:paraId="0030C25B">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w:t>
      </w:r>
      <w:r>
        <w:rPr>
          <w:rFonts w:hint="eastAsia" w:ascii="楷体" w:hAnsi="楷体" w:eastAsia="楷体"/>
          <w:b/>
          <w:spacing w:val="-4"/>
          <w:sz w:val="32"/>
          <w:szCs w:val="32"/>
          <w:lang w:val="en-US" w:eastAsia="zh-CN"/>
        </w:rPr>
        <w:t>三</w:t>
      </w:r>
      <w:r>
        <w:rPr>
          <w:rFonts w:hint="eastAsia" w:ascii="楷体" w:hAnsi="楷体" w:eastAsia="楷体"/>
          <w:b/>
          <w:spacing w:val="-4"/>
          <w:sz w:val="32"/>
          <w:szCs w:val="32"/>
        </w:rPr>
        <w:t>）</w:t>
      </w:r>
      <w:r>
        <w:rPr>
          <w:rStyle w:val="18"/>
          <w:rFonts w:hint="eastAsia" w:ascii="楷体" w:hAnsi="楷体" w:eastAsia="楷体"/>
          <w:spacing w:val="-4"/>
          <w:sz w:val="32"/>
          <w:szCs w:val="32"/>
        </w:rPr>
        <w:t>项目产出情况</w:t>
      </w:r>
    </w:p>
    <w:p w14:paraId="64A00213">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项目产出类指标由2个二级指标和4个三级指标构成，权重分20.00分，实际得分19.90分。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1.数量指标完成情况分析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食品安全风险监测抽检批次（批次）:预期指标值为&gt;=2119批次，实际完成值为2247批次,指标完成率为100.00%。</w:t>
      </w:r>
      <w:r>
        <w:rPr>
          <w:rStyle w:val="18"/>
          <w:rFonts w:hint="eastAsia" w:ascii="楷体" w:hAnsi="楷体" w:eastAsia="楷体"/>
          <w:b w:val="0"/>
          <w:bCs w:val="0"/>
          <w:spacing w:val="-4"/>
          <w:sz w:val="32"/>
          <w:szCs w:val="32"/>
        </w:rPr>
        <w:tab/>
        <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ab/>
        <w:t>食品安全风险监测抽检样品数（批次/千人）:预期指标值为&gt;=0.92批次/千人，实际完成值为0.89批次/千人,指标完成率为100.00%。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食品安全监督抽查频次（次）:预期指标值为&gt;=12次，实际完成值为12次,指标完成率为100.00%。</w:t>
      </w:r>
      <w:r>
        <w:rPr>
          <w:rStyle w:val="18"/>
          <w:rFonts w:hint="eastAsia" w:ascii="楷体" w:hAnsi="楷体" w:eastAsia="楷体"/>
          <w:b w:val="0"/>
          <w:bCs w:val="0"/>
          <w:spacing w:val="-4"/>
          <w:sz w:val="32"/>
          <w:szCs w:val="32"/>
        </w:rPr>
        <w:tab/>
        <w:t/>
      </w:r>
      <w:r>
        <w:rPr>
          <w:rStyle w:val="18"/>
          <w:rFonts w:hint="eastAsia" w:ascii="楷体" w:hAnsi="楷体" w:eastAsia="楷体"/>
          <w:b w:val="0"/>
          <w:bCs w:val="0"/>
          <w:spacing w:val="-4"/>
          <w:sz w:val="32"/>
          <w:szCs w:val="32"/>
        </w:rPr>
        <w:tab/>
        <w:t/>
      </w:r>
      <w:r>
        <w:rPr>
          <w:rStyle w:val="18"/>
          <w:rFonts w:hint="eastAsia" w:ascii="楷体" w:hAnsi="楷体" w:eastAsia="楷体"/>
          <w:b w:val="0"/>
          <w:bCs w:val="0"/>
          <w:spacing w:val="-4"/>
          <w:sz w:val="32"/>
          <w:szCs w:val="32"/>
        </w:rPr>
        <w:tab/>
        <w:t/>
      </w:r>
      <w:r>
        <w:rPr>
          <w:rStyle w:val="18"/>
          <w:rFonts w:hint="eastAsia" w:ascii="楷体" w:hAnsi="楷体" w:eastAsia="楷体"/>
          <w:b w:val="0"/>
          <w:bCs w:val="0"/>
          <w:spacing w:val="-4"/>
          <w:sz w:val="32"/>
          <w:szCs w:val="32"/>
        </w:rPr>
        <w:tab/>
        <w:t/>
      </w:r>
      <w:r>
        <w:rPr>
          <w:rStyle w:val="18"/>
          <w:rFonts w:hint="eastAsia" w:ascii="楷体" w:hAnsi="楷体" w:eastAsia="楷体"/>
          <w:b w:val="0"/>
          <w:bCs w:val="0"/>
          <w:spacing w:val="-4"/>
          <w:sz w:val="32"/>
          <w:szCs w:val="32"/>
        </w:rPr>
        <w:tab/>
        <w:t/>
      </w:r>
      <w:r>
        <w:rPr>
          <w:rStyle w:val="18"/>
          <w:rFonts w:hint="eastAsia" w:ascii="楷体" w:hAnsi="楷体" w:eastAsia="楷体"/>
          <w:b w:val="0"/>
          <w:bCs w:val="0"/>
          <w:spacing w:val="-4"/>
          <w:sz w:val="32"/>
          <w:szCs w:val="32"/>
        </w:rPr>
        <w:tab/>
        <w:t/>
      </w:r>
      <w:r>
        <w:rPr>
          <w:rStyle w:val="18"/>
          <w:rFonts w:hint="eastAsia" w:ascii="楷体" w:hAnsi="楷体" w:eastAsia="楷体"/>
          <w:b w:val="0"/>
          <w:bCs w:val="0"/>
          <w:spacing w:val="-4"/>
          <w:sz w:val="32"/>
          <w:szCs w:val="32"/>
        </w:rPr>
        <w:tab/>
        <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 2.质量指标完成情况分析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检验批次达标率（%）:预期指标值为&gt;=90.00%，实际完成值为100.00%,指标完成率为100.00%。</w:t>
      </w:r>
      <w:r>
        <w:rPr>
          <w:rStyle w:val="18"/>
          <w:rFonts w:hint="eastAsia" w:ascii="楷体" w:hAnsi="楷体" w:eastAsia="楷体"/>
          <w:b w:val="0"/>
          <w:bCs w:val="0"/>
          <w:spacing w:val="-4"/>
          <w:sz w:val="32"/>
          <w:szCs w:val="32"/>
        </w:rPr>
        <w:tab/>
        <w:t/>
      </w:r>
      <w:r>
        <w:rPr>
          <w:rStyle w:val="18"/>
          <w:rFonts w:hint="eastAsia" w:ascii="楷体" w:hAnsi="楷体" w:eastAsia="楷体"/>
          <w:b w:val="0"/>
          <w:bCs w:val="0"/>
          <w:spacing w:val="-4"/>
          <w:sz w:val="32"/>
          <w:szCs w:val="32"/>
        </w:rPr>
        <w:tab/>
        <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食品安全监督抽检合格率（%）:预期指标值为&gt;=90.00%，实际完成值为=97.03%,指标完成率为100.00%。</w:t>
      </w:r>
      <w:r>
        <w:rPr>
          <w:rStyle w:val="18"/>
          <w:rFonts w:hint="eastAsia" w:ascii="楷体" w:hAnsi="楷体" w:eastAsia="楷体"/>
          <w:b w:val="0"/>
          <w:bCs w:val="0"/>
          <w:spacing w:val="-4"/>
          <w:sz w:val="32"/>
          <w:szCs w:val="32"/>
        </w:rPr>
        <w:tab/>
        <w:t/>
      </w:r>
      <w:r>
        <w:rPr>
          <w:rStyle w:val="18"/>
          <w:rFonts w:hint="eastAsia" w:ascii="楷体" w:hAnsi="楷体" w:eastAsia="楷体"/>
          <w:b w:val="0"/>
          <w:bCs w:val="0"/>
          <w:spacing w:val="-4"/>
          <w:sz w:val="32"/>
          <w:szCs w:val="32"/>
        </w:rPr>
        <w:tab/>
        <w:t/>
      </w:r>
      <w:r>
        <w:rPr>
          <w:rStyle w:val="18"/>
          <w:rFonts w:hint="eastAsia" w:ascii="楷体" w:hAnsi="楷体" w:eastAsia="楷体"/>
          <w:b w:val="0"/>
          <w:bCs w:val="0"/>
          <w:spacing w:val="-4"/>
          <w:sz w:val="32"/>
          <w:szCs w:val="32"/>
        </w:rPr>
        <w:tab/>
        <w:t/>
      </w:r>
      <w:r>
        <w:rPr>
          <w:rStyle w:val="18"/>
          <w:rFonts w:hint="eastAsia" w:ascii="楷体" w:hAnsi="楷体" w:eastAsia="楷体"/>
          <w:b w:val="0"/>
          <w:bCs w:val="0"/>
          <w:spacing w:val="-4"/>
          <w:sz w:val="32"/>
          <w:szCs w:val="32"/>
        </w:rPr>
        <w:tab/>
        <w:t/>
      </w:r>
      <w:r>
        <w:rPr>
          <w:rStyle w:val="18"/>
          <w:rFonts w:hint="eastAsia" w:ascii="楷体" w:hAnsi="楷体" w:eastAsia="楷体"/>
          <w:b w:val="0"/>
          <w:bCs w:val="0"/>
          <w:spacing w:val="-4"/>
          <w:sz w:val="32"/>
          <w:szCs w:val="32"/>
        </w:rPr>
        <w:tab/>
        <w:t/>
      </w:r>
      <w:r>
        <w:rPr>
          <w:rStyle w:val="18"/>
          <w:rFonts w:hint="eastAsia" w:ascii="楷体" w:hAnsi="楷体" w:eastAsia="楷体"/>
          <w:b w:val="0"/>
          <w:bCs w:val="0"/>
          <w:spacing w:val="-4"/>
          <w:sz w:val="32"/>
          <w:szCs w:val="32"/>
        </w:rPr>
        <w:tab/>
        <w:t/>
      </w:r>
      <w:r>
        <w:rPr>
          <w:rStyle w:val="18"/>
          <w:rFonts w:hint="eastAsia" w:ascii="楷体" w:hAnsi="楷体" w:eastAsia="楷体"/>
          <w:b w:val="0"/>
          <w:bCs w:val="0"/>
          <w:spacing w:val="-4"/>
          <w:sz w:val="32"/>
          <w:szCs w:val="32"/>
        </w:rPr>
        <w:tab/>
        <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3.时效指标完成情况分析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抽检活动完成及时率（%）:预期指标值为=100.00%，实际完成值为100.00%,指标完成率为100.00%。</w:t>
      </w:r>
      <w:r>
        <w:rPr>
          <w:rStyle w:val="18"/>
          <w:rFonts w:hint="eastAsia" w:ascii="楷体" w:hAnsi="楷体" w:eastAsia="楷体"/>
          <w:b w:val="0"/>
          <w:bCs w:val="0"/>
          <w:spacing w:val="-4"/>
          <w:sz w:val="32"/>
          <w:szCs w:val="32"/>
        </w:rPr>
        <w:tab/>
        <w:t/>
      </w:r>
      <w:r>
        <w:rPr>
          <w:rStyle w:val="18"/>
          <w:rFonts w:hint="eastAsia" w:ascii="楷体" w:hAnsi="楷体" w:eastAsia="楷体"/>
          <w:b w:val="0"/>
          <w:bCs w:val="0"/>
          <w:spacing w:val="-4"/>
          <w:sz w:val="32"/>
          <w:szCs w:val="32"/>
        </w:rPr>
        <w:tab/>
        <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4.成本指标完成情况分析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食品抽检经费（万元）:预期指标值为&lt;=216.00万元，实际完成值为216.00万元,指标完成率为100.00%。</w:t>
      </w:r>
      <w:r>
        <w:rPr>
          <w:rStyle w:val="18"/>
          <w:rFonts w:hint="eastAsia" w:ascii="楷体" w:hAnsi="楷体" w:eastAsia="楷体"/>
          <w:b w:val="0"/>
          <w:bCs w:val="0"/>
          <w:spacing w:val="-4"/>
          <w:sz w:val="32"/>
          <w:szCs w:val="32"/>
        </w:rPr>
        <w:tab/>
        <w:t/>
      </w:r>
      <w:r>
        <w:rPr>
          <w:rStyle w:val="18"/>
          <w:rFonts w:hint="eastAsia" w:ascii="楷体" w:hAnsi="楷体" w:eastAsia="楷体"/>
          <w:b w:val="0"/>
          <w:bCs w:val="0"/>
          <w:spacing w:val="-4"/>
          <w:sz w:val="32"/>
          <w:szCs w:val="32"/>
        </w:rPr>
        <w:tab/>
        <w:t/>
      </w:r>
      <w:r>
        <w:rPr>
          <w:rStyle w:val="18"/>
          <w:rFonts w:hint="eastAsia" w:ascii="楷体" w:hAnsi="楷体" w:eastAsia="楷体"/>
          <w:b w:val="0"/>
          <w:bCs w:val="0"/>
          <w:spacing w:val="-4"/>
          <w:sz w:val="32"/>
          <w:szCs w:val="32"/>
        </w:rPr>
        <w:tab/>
        <w:t/>
      </w:r>
      <w:r>
        <w:rPr>
          <w:rStyle w:val="18"/>
          <w:rFonts w:hint="eastAsia" w:ascii="楷体" w:hAnsi="楷体" w:eastAsia="楷体"/>
          <w:b w:val="0"/>
          <w:bCs w:val="0"/>
          <w:spacing w:val="-4"/>
          <w:sz w:val="32"/>
          <w:szCs w:val="32"/>
        </w:rPr>
        <w:tab/>
        <w:t/>
      </w:r>
      <w:r>
        <w:rPr>
          <w:rStyle w:val="18"/>
          <w:rFonts w:hint="eastAsia" w:ascii="楷体" w:hAnsi="楷体" w:eastAsia="楷体"/>
          <w:b w:val="0"/>
          <w:bCs w:val="0"/>
          <w:spacing w:val="-4"/>
          <w:sz w:val="32"/>
          <w:szCs w:val="32"/>
        </w:rPr>
        <w:tab/>
      </w:r>
    </w:p>
    <w:p w14:paraId="1B323065">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w:t>
      </w:r>
      <w:r>
        <w:rPr>
          <w:rFonts w:hint="eastAsia" w:ascii="楷体" w:hAnsi="楷体" w:eastAsia="楷体"/>
          <w:b/>
          <w:spacing w:val="-4"/>
          <w:sz w:val="32"/>
          <w:szCs w:val="32"/>
          <w:lang w:val="en-US" w:eastAsia="zh-CN"/>
        </w:rPr>
        <w:t>四</w:t>
      </w:r>
      <w:r>
        <w:rPr>
          <w:rFonts w:hint="eastAsia" w:ascii="楷体" w:hAnsi="楷体" w:eastAsia="楷体"/>
          <w:b/>
          <w:spacing w:val="-4"/>
          <w:sz w:val="32"/>
          <w:szCs w:val="32"/>
        </w:rPr>
        <w:t>）</w:t>
      </w:r>
      <w:r>
        <w:rPr>
          <w:rStyle w:val="18"/>
          <w:rFonts w:hint="eastAsia" w:ascii="楷体" w:hAnsi="楷体" w:eastAsia="楷体"/>
          <w:spacing w:val="-4"/>
          <w:sz w:val="32"/>
          <w:szCs w:val="32"/>
        </w:rPr>
        <w:t>项目效益情况</w:t>
      </w:r>
    </w:p>
    <w:p w14:paraId="24CD7E45">
      <w:pPr>
        <w:spacing w:line="540" w:lineRule="exact"/>
        <w:ind w:firstLine="567"/>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项目效益类指标由2个二级指标和3个三级指标构成，权重分40.00分，实际得分40.00分。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1.经济效益完成情况分析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无此类指标；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2.社会效益完成情况分析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抽检不合格食品处理率（%）:预期指标值为&gt;=95.00%，实际完成值为100.00%,指标完成率为100.00%。</w:t>
      </w:r>
      <w:r>
        <w:rPr>
          <w:rStyle w:val="18"/>
          <w:rFonts w:hint="eastAsia" w:ascii="楷体" w:hAnsi="楷体" w:eastAsia="楷体"/>
          <w:b w:val="0"/>
          <w:bCs w:val="0"/>
          <w:spacing w:val="-4"/>
          <w:sz w:val="32"/>
          <w:szCs w:val="32"/>
        </w:rPr>
        <w:tab/>
        <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检查结果公开率（%）:预期指标值为=100.00%，实际完成值为100.00%,指标完成率为100.00%。</w:t>
      </w:r>
      <w:r>
        <w:rPr>
          <w:rStyle w:val="18"/>
          <w:rFonts w:hint="eastAsia" w:ascii="楷体" w:hAnsi="楷体" w:eastAsia="楷体"/>
          <w:b w:val="0"/>
          <w:bCs w:val="0"/>
          <w:spacing w:val="-4"/>
          <w:sz w:val="32"/>
          <w:szCs w:val="32"/>
        </w:rPr>
        <w:tab/>
        <w:t/>
      </w:r>
      <w:r>
        <w:rPr>
          <w:rStyle w:val="18"/>
          <w:rFonts w:hint="eastAsia" w:ascii="楷体" w:hAnsi="楷体" w:eastAsia="楷体"/>
          <w:b w:val="0"/>
          <w:bCs w:val="0"/>
          <w:spacing w:val="-4"/>
          <w:sz w:val="32"/>
          <w:szCs w:val="32"/>
        </w:rPr>
        <w:tab/>
        <w:t/>
      </w:r>
      <w:r>
        <w:rPr>
          <w:rStyle w:val="18"/>
          <w:rFonts w:hint="eastAsia" w:ascii="楷体" w:hAnsi="楷体" w:eastAsia="楷体"/>
          <w:b w:val="0"/>
          <w:bCs w:val="0"/>
          <w:spacing w:val="-4"/>
          <w:sz w:val="32"/>
          <w:szCs w:val="32"/>
        </w:rPr>
        <w:tab/>
        <w:t/>
      </w:r>
      <w:r>
        <w:rPr>
          <w:rStyle w:val="18"/>
          <w:rFonts w:hint="eastAsia" w:ascii="楷体" w:hAnsi="楷体" w:eastAsia="楷体"/>
          <w:b w:val="0"/>
          <w:bCs w:val="0"/>
          <w:spacing w:val="-4"/>
          <w:sz w:val="32"/>
          <w:szCs w:val="32"/>
        </w:rPr>
        <w:tab/>
        <w:t/>
      </w:r>
      <w:r>
        <w:rPr>
          <w:rStyle w:val="18"/>
          <w:rFonts w:hint="eastAsia" w:ascii="楷体" w:hAnsi="楷体" w:eastAsia="楷体"/>
          <w:b w:val="0"/>
          <w:bCs w:val="0"/>
          <w:spacing w:val="-4"/>
          <w:sz w:val="32"/>
          <w:szCs w:val="32"/>
        </w:rPr>
        <w:tab/>
        <w:t/>
      </w:r>
      <w:r>
        <w:rPr>
          <w:rStyle w:val="18"/>
          <w:rFonts w:hint="eastAsia" w:ascii="楷体" w:hAnsi="楷体" w:eastAsia="楷体"/>
          <w:b w:val="0"/>
          <w:bCs w:val="0"/>
          <w:spacing w:val="-4"/>
          <w:sz w:val="32"/>
          <w:szCs w:val="32"/>
        </w:rPr>
        <w:tab/>
        <w:t/>
      </w:r>
      <w:r>
        <w:rPr>
          <w:rStyle w:val="18"/>
          <w:rFonts w:hint="eastAsia" w:ascii="楷体" w:hAnsi="楷体" w:eastAsia="楷体"/>
          <w:b w:val="0"/>
          <w:bCs w:val="0"/>
          <w:spacing w:val="-4"/>
          <w:sz w:val="32"/>
          <w:szCs w:val="32"/>
        </w:rPr>
        <w:tab/>
        <w:t/>
      </w:r>
      <w:r>
        <w:rPr>
          <w:rStyle w:val="18"/>
          <w:rFonts w:hint="eastAsia" w:ascii="楷体" w:hAnsi="楷体" w:eastAsia="楷体"/>
          <w:b w:val="0"/>
          <w:bCs w:val="0"/>
          <w:spacing w:val="-4"/>
          <w:sz w:val="32"/>
          <w:szCs w:val="32"/>
        </w:rPr>
        <w:tab/>
        <w:t/>
      </w:r>
      <w:r>
        <w:rPr>
          <w:rStyle w:val="18"/>
          <w:rFonts w:hint="eastAsia" w:ascii="楷体" w:hAnsi="楷体" w:eastAsia="楷体"/>
          <w:b w:val="0"/>
          <w:bCs w:val="0"/>
          <w:spacing w:val="-4"/>
          <w:sz w:val="32"/>
          <w:szCs w:val="32"/>
        </w:rPr>
        <w:tab/>
        <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3.生态效益完成情况分析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无此类指标；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4.可持续影响完成情况分析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无此类指标；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5.满意度指标完成情况分析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服务对象满意度（%）:预期指标值为&gt;=95.00%，实际完成值为95.19%,指标完成率为100.00%。</w:t>
      </w:r>
      <w:r>
        <w:rPr>
          <w:rStyle w:val="18"/>
          <w:rFonts w:hint="eastAsia" w:ascii="楷体" w:hAnsi="楷体" w:eastAsia="楷体"/>
          <w:b w:val="0"/>
          <w:bCs w:val="0"/>
          <w:spacing w:val="-4"/>
          <w:sz w:val="32"/>
          <w:szCs w:val="32"/>
        </w:rPr>
        <w:tab/>
        <w:t/>
      </w:r>
      <w:r>
        <w:rPr>
          <w:rStyle w:val="18"/>
          <w:rFonts w:hint="eastAsia" w:ascii="楷体" w:hAnsi="楷体" w:eastAsia="楷体"/>
          <w:b w:val="0"/>
          <w:bCs w:val="0"/>
          <w:spacing w:val="-4"/>
          <w:sz w:val="32"/>
          <w:szCs w:val="32"/>
        </w:rPr>
        <w:tab/>
        <w:t/>
      </w:r>
      <w:r>
        <w:rPr>
          <w:rStyle w:val="18"/>
          <w:rFonts w:hint="eastAsia" w:ascii="楷体" w:hAnsi="楷体" w:eastAsia="楷体"/>
          <w:b w:val="0"/>
          <w:bCs w:val="0"/>
          <w:spacing w:val="-4"/>
          <w:sz w:val="32"/>
          <w:szCs w:val="32"/>
        </w:rPr>
        <w:tab/>
        <w:t/>
      </w:r>
      <w:r>
        <w:rPr>
          <w:rStyle w:val="18"/>
          <w:rFonts w:hint="eastAsia" w:ascii="楷体" w:hAnsi="楷体" w:eastAsia="楷体"/>
          <w:b w:val="0"/>
          <w:bCs w:val="0"/>
          <w:spacing w:val="-4"/>
          <w:sz w:val="32"/>
          <w:szCs w:val="32"/>
        </w:rPr>
        <w:tab/>
        <w:t/>
      </w:r>
      <w:r>
        <w:rPr>
          <w:rStyle w:val="18"/>
          <w:rFonts w:hint="eastAsia" w:ascii="楷体" w:hAnsi="楷体" w:eastAsia="楷体"/>
          <w:b w:val="0"/>
          <w:bCs w:val="0"/>
          <w:spacing w:val="-4"/>
          <w:sz w:val="32"/>
          <w:szCs w:val="32"/>
        </w:rPr>
        <w:tab/>
      </w:r>
    </w:p>
    <w:p w14:paraId="052CB0E7">
      <w:pPr>
        <w:spacing w:line="540" w:lineRule="exact"/>
        <w:ind w:firstLine="567"/>
        <w:rPr>
          <w:rStyle w:val="18"/>
          <w:rFonts w:hint="eastAsia" w:ascii="楷体" w:hAnsi="楷体" w:eastAsia="楷体"/>
          <w:spacing w:val="-4"/>
          <w:sz w:val="32"/>
          <w:szCs w:val="32"/>
        </w:rPr>
      </w:pPr>
    </w:p>
    <w:p w14:paraId="06115536">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五、预算执行进度与绩效指标偏差</w:t>
      </w:r>
    </w:p>
    <w:p w14:paraId="2A95A975">
      <w:pPr>
        <w:spacing w:line="540" w:lineRule="exact"/>
        <w:ind w:firstLine="567"/>
        <w:rPr>
          <w:rStyle w:val="18"/>
          <w:rFonts w:hint="eastAsia" w:ascii="楷体" w:hAnsi="楷体" w:eastAsia="楷体"/>
          <w:spacing w:val="-4"/>
          <w:sz w:val="32"/>
          <w:szCs w:val="32"/>
        </w:rPr>
      </w:pPr>
      <w:r>
        <w:rPr>
          <w:rStyle w:val="18"/>
          <w:rFonts w:hint="eastAsia" w:ascii="楷体" w:hAnsi="楷体" w:eastAsia="楷体"/>
          <w:b w:val="0"/>
          <w:bCs w:val="0"/>
          <w:spacing w:val="-4"/>
          <w:sz w:val="32"/>
          <w:szCs w:val="32"/>
        </w:rPr>
        <w:t>本项目年初预算资金总额为216.00万元，全年预算数为216.00万元，全年执行数为216.00万元，预算执行率为100.00%。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本项目共设置三级指标数量21个，满分指标数量20个，扣分指标数量1个，经分析计算所有三级指标完成率得出，本项目总体完成率为99.90%。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综上所述本项目预算执行率与总体完成率之间的偏差为0.10%。</w:t>
      </w:r>
    </w:p>
    <w:p w14:paraId="62297D17">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六、主要经验及做法、存在的问题及原因分析</w:t>
      </w:r>
    </w:p>
    <w:p w14:paraId="3A8E9E06">
      <w:pPr>
        <w:spacing w:line="540" w:lineRule="exact"/>
        <w:ind w:firstLine="567"/>
        <w:rPr>
          <w:rFonts w:ascii="仿宋_GB2312" w:eastAsia="仿宋_GB2312"/>
          <w:spacing w:val="-4"/>
          <w:sz w:val="32"/>
          <w:szCs w:val="32"/>
        </w:rPr>
      </w:pPr>
      <w:r>
        <w:rPr>
          <w:rStyle w:val="18"/>
          <w:rFonts w:hint="eastAsia" w:ascii="楷体" w:hAnsi="楷体" w:eastAsia="楷体"/>
          <w:b w:val="0"/>
          <w:bCs w:val="0"/>
          <w:spacing w:val="-4"/>
          <w:sz w:val="32"/>
          <w:szCs w:val="32"/>
        </w:rPr>
        <w:t>（（一）主要经验及做法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  一是加强组织领导，本项目绩效评价工作，由我单位领导亲自管理，分管领导及科室具体负责人具体负责，从项目到资金均按照进度有序进行。建立健全预算项目管理制度，根据本单位年度工作计划，做好项目预算安排，编制项目工作计划与工作总结，建立预算编制，提升编制预算的计划性、科学性和规范性。提前撰写可执行报告，规范专项资金操作，严格控制开支范围，节约成本，提高效率。领导分工明确，明确单位内部各个业务归口管理责任，强化预算绩效意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二是本项目能严格按照《项目实施方案》执行，项目执行情况较好。</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三是进一步加强制度建设，建立健全预算项目管理制度，合理设置内部管理机构和岗位，明确职责权限，强化绩效评价结果应用，发现的问题及时改进，事事有人管，件件有人抓，提高绩效管理工作水平，明确单位内部各个业务归口管理责任，加强对政府采购业务预算与计划管理，建立预算编制，提升编制预算的计划性、科学性和规范性，强化预算绩效意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（二）存在的问题及原因分析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对主观认识和重视程度不够。我单位更加关注收入的预算而非绩效的管理，掌控的资金越多越好，而对资金的使用效率和效果缺乏足够的重视。“钱”花出去了，但是有没有浪费，是否取得了预期的效果，单位没有给予必要的考核评价与反馈运用。</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2、财政要求对所有项目进行绩效申报与审核，时间紧、任务重，且有项目的社会效益难以用绩效指标来考核，单位财务人员表示难度大、压力大，业务部门也缺乏对绩效工作的透彻理解，所以相关工作也是做得比较粗浅。 </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   3、我单位虽然进行了绩效评价工作，但是绩效评价的结果没有被充分的运用，对评价过程中发现的问题没有落实整改措施，也没有将绩效评价的结果作为行政事业单位安排下一年度部门预算的参考依据，绩效评价流于形式。</w:t>
      </w:r>
    </w:p>
    <w:p w14:paraId="78776273">
      <w:pPr>
        <w:spacing w:line="540" w:lineRule="exact"/>
        <w:ind w:firstLine="640"/>
        <w:rPr>
          <w:rStyle w:val="18"/>
          <w:rFonts w:hint="eastAsia" w:ascii="黑体" w:hAnsi="黑体" w:eastAsia="黑体"/>
          <w:b w:val="0"/>
          <w:spacing w:val="-4"/>
          <w:sz w:val="32"/>
          <w:szCs w:val="32"/>
        </w:rPr>
      </w:pPr>
      <w:r>
        <w:rPr>
          <w:rStyle w:val="18"/>
          <w:rFonts w:hint="eastAsia" w:ascii="黑体" w:hAnsi="黑体" w:eastAsia="黑体"/>
          <w:b w:val="0"/>
          <w:spacing w:val="-4"/>
          <w:sz w:val="32"/>
          <w:szCs w:val="32"/>
          <w:lang w:val="en-US" w:eastAsia="zh-CN"/>
        </w:rPr>
        <w:t>七</w:t>
      </w:r>
      <w:r>
        <w:rPr>
          <w:rStyle w:val="18"/>
          <w:rFonts w:hint="eastAsia" w:ascii="黑体" w:hAnsi="黑体" w:eastAsia="黑体"/>
          <w:b w:val="0"/>
          <w:spacing w:val="-4"/>
          <w:sz w:val="32"/>
          <w:szCs w:val="32"/>
        </w:rPr>
        <w:t>、有关建议</w:t>
      </w:r>
    </w:p>
    <w:p w14:paraId="26952682">
      <w:pPr>
        <w:spacing w:line="540" w:lineRule="exact"/>
        <w:ind w:firstLine="567"/>
        <w:rPr>
          <w:rStyle w:val="18"/>
          <w:rFonts w:hint="eastAsia" w:ascii="楷体" w:hAnsi="楷体" w:eastAsia="楷体"/>
          <w:spacing w:val="-4"/>
          <w:sz w:val="32"/>
          <w:szCs w:val="32"/>
        </w:rPr>
      </w:pPr>
      <w:r>
        <w:rPr>
          <w:rStyle w:val="18"/>
          <w:rFonts w:hint="eastAsia" w:ascii="楷体" w:hAnsi="楷体" w:eastAsia="楷体"/>
          <w:b w:val="0"/>
          <w:bCs w:val="0"/>
          <w:spacing w:val="-4"/>
          <w:sz w:val="32"/>
          <w:szCs w:val="32"/>
        </w:rPr>
        <w:t>1、建议预算单位在每年12月申报先让各科室各部门统计每新一年采购预算，经财务室汇总及审核，在年初财经会以及校长办公会议上研究讨论一年的需求。按照采购预算批复，实行专款专用原则，有专人负责，领导审核，加强对项目建设、实施进度以及质量的管控，定期监督检查项目执行进度和实施质量，提高专项资金使用效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建议预算单位要树立起预算执行主体责任意识和效率意识，强化预算执行管理，根据项目实施计划，严格把控项目资金支出进度，对项目实施过程中遇到影响项目完成进度或资金支付进度的问题，在自身不能采取有效措施进行解决的情况下应尽快向财政部门反馈，对需要及时协调各方共同解决的问题，应加强各责任部门之间的沟通，共同推动项目管理水平的提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3、建议预算单位绩效目标设置是预算批复和预算安排的前置条件，是实施 绩效监控、开展绩效评价等工作的重要基础和依据，统领预算绩效管理。建议预算单位严格按照自治区印发的相关通知要求，切实提升绩效目标和指标的编制水平，强化目标对项目实施的约束力；</w:t>
      </w:r>
    </w:p>
    <w:p w14:paraId="7EBF8328">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lang w:val="en-US" w:eastAsia="zh-CN"/>
        </w:rPr>
        <w:t>八</w:t>
      </w:r>
      <w:r>
        <w:rPr>
          <w:rStyle w:val="18"/>
          <w:rFonts w:hint="eastAsia" w:ascii="黑体" w:hAnsi="黑体" w:eastAsia="黑体"/>
          <w:b w:val="0"/>
          <w:spacing w:val="-4"/>
          <w:sz w:val="32"/>
          <w:szCs w:val="32"/>
        </w:rPr>
        <w:t>、其他需要说明的问题</w:t>
      </w:r>
    </w:p>
    <w:p w14:paraId="6AC3E1B5">
      <w:pPr>
        <w:spacing w:line="540" w:lineRule="exact"/>
        <w:ind w:firstLine="567"/>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（一）本项目部分间接产生的效果无法准确在短期内衡量，因此很难认定项目产生的全部效果。通过指标来反映绩效，指标的科学性和全面性需要不断地完善和研究。</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（二）评价结果作为安排政府预算、完善政策和改进管理的重要依据。原则上，对评价等级为优、良的，根据情况予以支持；对评价等级为中、差的，要完善政策、改进管理，根据情况核减预算。</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（三）评价结果分别编入政府决算和部门预算，报送本级人民代表大会常务委员会，并依法予以公开。</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四）对使用财政资金严重低效无效并造成重大损失的责任人，要按照相关规定追责问责。对绩效评价过程中发现的资金使用单位和个人的财政违法行为，依照《中华人民共和国预算法》《财政违法行为处罚处分条例》等有关规定追究责任，发现违纪违法问题线索的，应当及时移送纪检监察机关。</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五）工作人员在绩效评价管理工作中存在违反《项目支出绩效评价管理办法》（财预〔2020〕10号）文件行为的，其他滥用职权、玩忽职守、徇私舞弊等违法违纪行为的，依照《中华人民共和国预算法》《中华人民共和国公务员法》《中华人民共和国监察法》《财政违法行为处罚处分条例》等国家有关规定追究相应责任，涉嫌犯罪的，依法移送司法机关处理。</w:t>
      </w:r>
    </w:p>
    <w:p w14:paraId="06F9431C">
      <w:pPr>
        <w:spacing w:line="540" w:lineRule="exact"/>
        <w:ind w:firstLine="567"/>
        <w:rPr>
          <w:rStyle w:val="18"/>
          <w:rFonts w:ascii="仿宋" w:hAnsi="仿宋" w:eastAsia="仿宋"/>
          <w:b w:val="0"/>
          <w:spacing w:val="-4"/>
          <w:sz w:val="32"/>
          <w:szCs w:val="32"/>
        </w:rPr>
      </w:pPr>
    </w:p>
    <w:sectPr>
      <w:footerReference r:id="rId3" w:type="default"/>
      <w:pgSz w:w="11906" w:h="16838"/>
      <w:pgMar w:top="1440" w:right="1558" w:bottom="1440" w:left="175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00" w:usb3="00000000" w:csb0="0004009F" w:csb1="DFD70000"/>
  </w:font>
  <w:font w:name="方正小标宋_GBK">
    <w:altName w:val="微软雅黑"/>
    <w:panose1 w:val="00000000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仿宋_GB2312">
    <w:altName w:val="仿宋"/>
    <w:panose1 w:val="00000000000000000000"/>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docPartObj>
        <w:docPartGallery w:val="autotext"/>
      </w:docPartObj>
    </w:sdtPr>
    <w:sdtContent>
      <w:p w14:paraId="4C775B5B">
        <w:pPr>
          <w:pStyle w:val="12"/>
          <w:jc w:val="center"/>
        </w:pPr>
        <w:r>
          <w:fldChar w:fldCharType="begin"/>
        </w:r>
        <w:r>
          <w:instrText xml:space="preserve">PAGE   \* MERGEFORMAT</w:instrText>
        </w:r>
        <w:r>
          <w:fldChar w:fldCharType="separate"/>
        </w:r>
        <w:r>
          <w:rPr>
            <w:lang w:val="zh-CN"/>
          </w:rPr>
          <w:t>1</w:t>
        </w:r>
        <w:r>
          <w:fldChar w:fldCharType="end"/>
        </w:r>
      </w:p>
    </w:sdtContent>
  </w:sdt>
  <w:p w14:paraId="24FE1554">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56465"/>
    <w:rsid w:val="00102DFF"/>
    <w:rsid w:val="00121AE4"/>
    <w:rsid w:val="00146AAD"/>
    <w:rsid w:val="001B3A40"/>
    <w:rsid w:val="00291BC0"/>
    <w:rsid w:val="00311DBE"/>
    <w:rsid w:val="004366A8"/>
    <w:rsid w:val="00502BA7"/>
    <w:rsid w:val="005162F1"/>
    <w:rsid w:val="00535153"/>
    <w:rsid w:val="00554F82"/>
    <w:rsid w:val="0056390D"/>
    <w:rsid w:val="005719B0"/>
    <w:rsid w:val="005D10D6"/>
    <w:rsid w:val="00855E3A"/>
    <w:rsid w:val="0091457F"/>
    <w:rsid w:val="00922CB9"/>
    <w:rsid w:val="009E5CD9"/>
    <w:rsid w:val="00A26421"/>
    <w:rsid w:val="00A34588"/>
    <w:rsid w:val="00A4293B"/>
    <w:rsid w:val="00A67D50"/>
    <w:rsid w:val="00A8691A"/>
    <w:rsid w:val="00AC1946"/>
    <w:rsid w:val="00B40063"/>
    <w:rsid w:val="00B41F61"/>
    <w:rsid w:val="00BA46E6"/>
    <w:rsid w:val="00C56C72"/>
    <w:rsid w:val="00CA6457"/>
    <w:rsid w:val="00CE2FD9"/>
    <w:rsid w:val="00D17F2E"/>
    <w:rsid w:val="00D30354"/>
    <w:rsid w:val="00DF42A0"/>
    <w:rsid w:val="00E30E91"/>
    <w:rsid w:val="00E769FE"/>
    <w:rsid w:val="00EA2CBE"/>
    <w:rsid w:val="00F32FEE"/>
    <w:rsid w:val="00FB10BB"/>
    <w:rsid w:val="0856517C"/>
    <w:rsid w:val="0BFB189F"/>
    <w:rsid w:val="11BD75F7"/>
    <w:rsid w:val="13BE561A"/>
    <w:rsid w:val="15392994"/>
    <w:rsid w:val="18FE139B"/>
    <w:rsid w:val="27D84E8E"/>
    <w:rsid w:val="3029612C"/>
    <w:rsid w:val="32A221C5"/>
    <w:rsid w:val="33F20F2A"/>
    <w:rsid w:val="34C44675"/>
    <w:rsid w:val="35F778A7"/>
    <w:rsid w:val="3B5B5607"/>
    <w:rsid w:val="3CE21B3C"/>
    <w:rsid w:val="4D2606A1"/>
    <w:rsid w:val="51830480"/>
    <w:rsid w:val="53A616BE"/>
    <w:rsid w:val="54662BFB"/>
    <w:rsid w:val="62051CA5"/>
    <w:rsid w:val="6C3A69EF"/>
    <w:rsid w:val="7DB128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字符"/>
    <w:basedOn w:val="17"/>
    <w:link w:val="2"/>
    <w:qFormat/>
    <w:uiPriority w:val="9"/>
    <w:rPr>
      <w:rFonts w:asciiTheme="majorHAnsi" w:hAnsiTheme="majorHAnsi" w:eastAsiaTheme="majorEastAsia"/>
      <w:b/>
      <w:bCs/>
      <w:kern w:val="32"/>
      <w:sz w:val="32"/>
      <w:szCs w:val="32"/>
    </w:rPr>
  </w:style>
  <w:style w:type="character" w:customStyle="1" w:styleId="21">
    <w:name w:val="标题 2 字符"/>
    <w:basedOn w:val="17"/>
    <w:link w:val="3"/>
    <w:semiHidden/>
    <w:qFormat/>
    <w:uiPriority w:val="9"/>
    <w:rPr>
      <w:rFonts w:asciiTheme="majorHAnsi" w:hAnsiTheme="majorHAnsi" w:eastAsiaTheme="majorEastAsia"/>
      <w:b/>
      <w:bCs/>
      <w:i/>
      <w:iCs/>
      <w:sz w:val="28"/>
      <w:szCs w:val="28"/>
    </w:rPr>
  </w:style>
  <w:style w:type="character" w:customStyle="1" w:styleId="22">
    <w:name w:val="标题 3 字符"/>
    <w:basedOn w:val="17"/>
    <w:link w:val="4"/>
    <w:semiHidden/>
    <w:qFormat/>
    <w:uiPriority w:val="9"/>
    <w:rPr>
      <w:rFonts w:asciiTheme="majorHAnsi" w:hAnsiTheme="majorHAnsi" w:eastAsiaTheme="majorEastAsia"/>
      <w:b/>
      <w:bCs/>
      <w:sz w:val="26"/>
      <w:szCs w:val="26"/>
    </w:rPr>
  </w:style>
  <w:style w:type="character" w:customStyle="1" w:styleId="23">
    <w:name w:val="标题 4 字符"/>
    <w:basedOn w:val="17"/>
    <w:link w:val="5"/>
    <w:semiHidden/>
    <w:qFormat/>
    <w:uiPriority w:val="9"/>
    <w:rPr>
      <w:b/>
      <w:bCs/>
      <w:sz w:val="28"/>
      <w:szCs w:val="28"/>
    </w:rPr>
  </w:style>
  <w:style w:type="character" w:customStyle="1" w:styleId="24">
    <w:name w:val="标题 5 字符"/>
    <w:basedOn w:val="17"/>
    <w:link w:val="6"/>
    <w:semiHidden/>
    <w:qFormat/>
    <w:uiPriority w:val="9"/>
    <w:rPr>
      <w:b/>
      <w:bCs/>
      <w:i/>
      <w:iCs/>
      <w:sz w:val="26"/>
      <w:szCs w:val="26"/>
    </w:rPr>
  </w:style>
  <w:style w:type="character" w:customStyle="1" w:styleId="25">
    <w:name w:val="标题 6 字符"/>
    <w:basedOn w:val="17"/>
    <w:link w:val="7"/>
    <w:semiHidden/>
    <w:qFormat/>
    <w:uiPriority w:val="9"/>
    <w:rPr>
      <w:b/>
      <w:bCs/>
    </w:rPr>
  </w:style>
  <w:style w:type="character" w:customStyle="1" w:styleId="26">
    <w:name w:val="标题 7 字符"/>
    <w:basedOn w:val="17"/>
    <w:link w:val="8"/>
    <w:semiHidden/>
    <w:qFormat/>
    <w:uiPriority w:val="9"/>
    <w:rPr>
      <w:sz w:val="24"/>
      <w:szCs w:val="24"/>
    </w:rPr>
  </w:style>
  <w:style w:type="character" w:customStyle="1" w:styleId="27">
    <w:name w:val="标题 8 字符"/>
    <w:basedOn w:val="17"/>
    <w:link w:val="9"/>
    <w:semiHidden/>
    <w:qFormat/>
    <w:uiPriority w:val="9"/>
    <w:rPr>
      <w:i/>
      <w:iCs/>
      <w:sz w:val="24"/>
      <w:szCs w:val="24"/>
    </w:rPr>
  </w:style>
  <w:style w:type="character" w:customStyle="1" w:styleId="28">
    <w:name w:val="标题 9 字符"/>
    <w:basedOn w:val="17"/>
    <w:link w:val="10"/>
    <w:semiHidden/>
    <w:qFormat/>
    <w:uiPriority w:val="9"/>
    <w:rPr>
      <w:rFonts w:asciiTheme="majorHAnsi" w:hAnsiTheme="majorHAnsi" w:eastAsiaTheme="majorEastAsia"/>
    </w:rPr>
  </w:style>
  <w:style w:type="character" w:customStyle="1" w:styleId="29">
    <w:name w:val="标题 字符"/>
    <w:basedOn w:val="17"/>
    <w:link w:val="15"/>
    <w:qFormat/>
    <w:uiPriority w:val="10"/>
    <w:rPr>
      <w:rFonts w:asciiTheme="majorHAnsi" w:hAnsiTheme="majorHAnsi" w:eastAsiaTheme="majorEastAsia"/>
      <w:b/>
      <w:bCs/>
      <w:kern w:val="28"/>
      <w:sz w:val="32"/>
      <w:szCs w:val="32"/>
    </w:rPr>
  </w:style>
  <w:style w:type="character" w:customStyle="1" w:styleId="30">
    <w:name w:val="副标题 字符"/>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7"/>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7"/>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7"/>
    <w:link w:val="13"/>
    <w:qFormat/>
    <w:uiPriority w:val="99"/>
    <w:rPr>
      <w:rFonts w:ascii="Calibri" w:hAnsi="Calibri" w:eastAsia="宋体"/>
      <w:kern w:val="2"/>
      <w:sz w:val="18"/>
      <w:szCs w:val="18"/>
    </w:rPr>
  </w:style>
  <w:style w:type="character" w:customStyle="1" w:styleId="44">
    <w:name w:val="页脚 字符"/>
    <w:basedOn w:val="17"/>
    <w:link w:val="12"/>
    <w:qFormat/>
    <w:uiPriority w:val="99"/>
    <w:rPr>
      <w:rFonts w:ascii="Calibri" w:hAnsi="Calibri" w:eastAsia="宋体"/>
      <w:kern w:val="2"/>
      <w:sz w:val="18"/>
      <w:szCs w:val="18"/>
    </w:rPr>
  </w:style>
  <w:style w:type="character" w:customStyle="1" w:styleId="45">
    <w:name w:val="批注框文本 字符"/>
    <w:basedOn w:val="17"/>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31</Pages>
  <Words>12477</Words>
  <Characters>13348</Characters>
  <Lines>5</Lines>
  <Paragraphs>1</Paragraphs>
  <TotalTime>140</TotalTime>
  <ScaleCrop>false</ScaleCrop>
  <LinksUpToDate>false</LinksUpToDate>
  <CharactersWithSpaces>13419</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2018-08-15T02:06:00Z</dcterms:created>
  <dc:creator>赵 恺（预算处）</dc:creator>
  <cp:lastModifiedBy>美好的一天</cp:lastModifiedBy>
  <cp:lastPrinted>2018-12-31T10:56:00Z</cp:lastPrinted>
  <dcterms:modified xsi:type="dcterms:W3CDTF">2024-11-28T04:46:31Z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1267DA42130B459D8ECB05DEAE3FF659_13</vt:lpwstr>
  </property>
</Properties>
</file>