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和田地区基层科普行动计划项目支出绩效评价报告</w:t>
      </w:r>
    </w:p>
    <w:p>
      <w:pPr>
        <w:spacing w:line="240" w:lineRule="atLeast"/>
        <w:jc w:val="center"/>
        <w:rPr>
          <w:rFonts w:hint="eastAsia" w:ascii="宋体" w:hAnsi="宋体" w:eastAsia="宋体" w:cs="Arial"/>
          <w:b/>
          <w:bCs/>
          <w:sz w:val="36"/>
          <w:szCs w:val="36"/>
          <w:lang w:val="en-US" w:eastAsia="zh-CN"/>
        </w:rPr>
      </w:pPr>
      <w:r>
        <w:rPr>
          <w:rFonts w:hint="eastAsia" w:ascii="宋体" w:hAnsi="宋体" w:eastAsia="宋体" w:cs="Arial"/>
          <w:b/>
          <w:bCs/>
          <w:sz w:val="36"/>
          <w:szCs w:val="36"/>
          <w:lang w:val="en-US" w:eastAsia="zh-CN"/>
        </w:rPr>
        <w:t xml:space="preserve"> </w:t>
      </w:r>
    </w:p>
    <w:p>
      <w:pPr>
        <w:pStyle w:val="2"/>
        <w:rPr>
          <w:rFonts w:hint="eastAsia"/>
          <w:lang w:val="en-US" w:eastAsia="zh-CN"/>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项目名称：和田地区基层科普行动计划项目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实施单位：和田地区科学技术协会</w:t>
      </w:r>
    </w:p>
    <w:p>
      <w:pPr>
        <w:spacing w:line="360" w:lineRule="auto"/>
        <w:ind w:firstLine="602"/>
        <w:rPr>
          <w:rFonts w:hint="eastAsia" w:ascii="黑体" w:eastAsia="黑体"/>
          <w:b/>
          <w:color w:val="000000"/>
          <w:sz w:val="30"/>
          <w:szCs w:val="30"/>
        </w:rPr>
      </w:pP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主管部门：和田地区科学技术协会</w:t>
      </w:r>
    </w:p>
    <w:p>
      <w:pPr>
        <w:spacing w:line="360" w:lineRule="auto"/>
        <w:rPr>
          <w:rFonts w:ascii="黑体" w:hAnsi="黑体" w:eastAsia="黑体" w:cs="黑体"/>
          <w:b/>
          <w:bCs/>
          <w:sz w:val="36"/>
          <w:szCs w:val="36"/>
        </w:rPr>
      </w:pPr>
      <w:r>
        <w:rPr>
          <w:rFonts w:hint="eastAsia" w:ascii="黑体" w:hAnsi="黑体" w:eastAsia="黑体" w:cs="黑体"/>
          <w:b/>
          <w:bCs/>
          <w:sz w:val="36"/>
          <w:szCs w:val="36"/>
        </w:rPr>
        <w:t>和田地区基层科普行动计划项目支出绩效评价报告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1.项目背景</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新《预算法》和《预算法实施条例》及经人大常委会和田地区工作委员会议审议通过的2019年和田地区财政预自草案,奖补和田地区七县一市科普先进基地1个、社区2个、带头人2个等活动,加强基层科普组织和人才培养，不断加大科普宣传力度，提高群众科学知识认知度。</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2.项目实施主体</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和田地区科学技术协会基本情况：</w:t>
      </w:r>
    </w:p>
    <w:p>
      <w:pPr>
        <w:numPr>
          <w:ilvl w:val="0"/>
          <w:numId w:val="2"/>
        </w:num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单位主要职能：开展学术交流，活跃学术思想，促进科学发展，推动自主创新。组织科学技术工作者为建立以企业的自主创新能力作项献。依据《中华人民共和国科学技术普及法》，弘扬科学精神，普及科学知识，传播科学思想和科学方法。捍卫科学尊严，推广先进技术，开展青少年科学技术教育活动，提高全民科学素质。反映科学技术工作的的建议，意见和诉求，维护科学技术工作者的合法权益。促进学术道德建设和学风建设。  </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3.项目组织结构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我单位该项目的顺利实施，我单位成立项目实施小组，组长为卢中林，副组长及项目负责人为韩永华，成员为冯刚、海日古丽·艾尔肯。其中：卢中林，负责项目的实施和操作，负责项目指标研制和报告质理审核工作；韩永华，负责项目方案、报告的制定、的报告撰写工作；海日古丽·艾尔肯，负责项目的资料整理、收集和数所分析。</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4.主要内容及实施情况</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和田地区基层科帝行动计划项目主要以奖补形式鼓励和田地区七县一市科普先进基地1个、社区2个、带头人2个;加强基层科普组织和人才队伍建设 ，不断加在科普宣传力度，效果显著。按照计划资金拨付及时率达到100%，受益人群满意度达到98%。</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5.资金投入和使用情况</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（1）项目资金安排落实、总投入等情况分析</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和田地区基层科普行动计划项目</w:t>
      </w:r>
      <w:r>
        <w:rPr>
          <w:color w:val="000000" w:themeColor="text1"/>
          <w14:textFill>
            <w14:solidFill>
              <w14:schemeClr w14:val="tx1"/>
            </w14:solidFill>
          </w14:textFill>
        </w:rPr>
        <w:t>预算安排总额为</w:t>
      </w:r>
      <w:r>
        <w:rPr>
          <w:rFonts w:hint="eastAsia"/>
          <w:color w:val="000000" w:themeColor="text1"/>
          <w14:textFill>
            <w14:solidFill>
              <w14:schemeClr w14:val="tx1"/>
            </w14:solidFill>
          </w14:textFill>
        </w:rPr>
        <w:t>15</w:t>
      </w:r>
      <w:r>
        <w:rPr>
          <w:color w:val="000000" w:themeColor="text1"/>
          <w14:textFill>
            <w14:solidFill>
              <w14:schemeClr w14:val="tx1"/>
            </w14:solidFill>
          </w14:textFill>
        </w:rPr>
        <w:t>万元，其中财政资金</w:t>
      </w:r>
      <w:r>
        <w:rPr>
          <w:rFonts w:hint="eastAsia"/>
          <w:color w:val="000000" w:themeColor="text1"/>
          <w14:textFill>
            <w14:solidFill>
              <w14:schemeClr w14:val="tx1"/>
            </w14:solidFill>
          </w14:textFill>
        </w:rPr>
        <w:t>15</w:t>
      </w:r>
      <w:r>
        <w:rPr>
          <w:color w:val="000000" w:themeColor="text1"/>
          <w14:textFill>
            <w14:solidFill>
              <w14:schemeClr w14:val="tx1"/>
            </w14:solidFill>
          </w14:textFill>
        </w:rPr>
        <w:t>万元，其他资金</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万元，2019年实际收到预算资金</w:t>
      </w:r>
      <w:r>
        <w:rPr>
          <w:rFonts w:hint="eastAsia"/>
          <w:color w:val="000000" w:themeColor="text1"/>
          <w14:textFill>
            <w14:solidFill>
              <w14:schemeClr w14:val="tx1"/>
            </w14:solidFill>
          </w14:textFill>
        </w:rPr>
        <w:t>15</w:t>
      </w:r>
      <w:r>
        <w:rPr>
          <w:color w:val="000000" w:themeColor="text1"/>
          <w14:textFill>
            <w14:solidFill>
              <w14:schemeClr w14:val="tx1"/>
            </w14:solidFill>
          </w14:textFill>
        </w:rPr>
        <w:t>万元，预算资金到位率为</w:t>
      </w:r>
      <w:r>
        <w:rPr>
          <w:rFonts w:hint="eastAsia"/>
          <w:color w:val="000000" w:themeColor="text1"/>
          <w14:textFill>
            <w14:solidFill>
              <w14:schemeClr w14:val="tx1"/>
            </w14:solidFill>
          </w14:textFill>
        </w:rPr>
        <w:t>100</w:t>
      </w:r>
      <w:r>
        <w:rPr>
          <w:color w:val="000000" w:themeColor="text1"/>
          <w14:textFill>
            <w14:solidFill>
              <w14:schemeClr w14:val="tx1"/>
            </w14:solidFill>
          </w14:textFill>
        </w:rPr>
        <w:t>%。</w:t>
      </w:r>
    </w:p>
    <w:p>
      <w:pPr>
        <w:numPr>
          <w:ilvl w:val="0"/>
          <w:numId w:val="3"/>
        </w:numPr>
        <w:ind w:firstLine="544"/>
        <w:rPr>
          <w:rFonts w:ascii="楷体" w:hAnsi="楷体" w:eastAsia="楷体"/>
          <w:bCs/>
          <w:color w:val="000000" w:themeColor="text1"/>
          <w:spacing w:val="-4"/>
          <w14:textFill>
            <w14:solidFill>
              <w14:schemeClr w14:val="tx1"/>
            </w14:solidFill>
          </w14:textFill>
        </w:rPr>
      </w:pPr>
      <w:r>
        <w:rPr>
          <w:rFonts w:hint="eastAsia" w:ascii="楷体" w:hAnsi="楷体" w:eastAsia="楷体"/>
          <w:bCs/>
          <w:color w:val="000000" w:themeColor="text1"/>
          <w:spacing w:val="-4"/>
          <w14:textFill>
            <w14:solidFill>
              <w14:schemeClr w14:val="tx1"/>
            </w14:solidFill>
          </w14:textFill>
        </w:rPr>
        <w:t>项目资金实际使用情况分析</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本项目实际支付资金15万元，预算执行率100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，项目资金主要用于支付奖励先进科普示范基地5万元；先进科普示范协会5万元；先进科普示范带头人3.5万元；先进科普示范社区1.5万元。</w:t>
      </w:r>
    </w:p>
    <w:p>
      <w:pPr>
        <w:pStyle w:val="4"/>
        <w:numPr>
          <w:ilvl w:val="0"/>
          <w:numId w:val="4"/>
        </w:numPr>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项目绩效目标</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1.总体目标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和田地区基层科普行动计划项目资金，本年度按照项目资金管理要求，执行年初预算的100%，奖励先进科普示范基地1个；先进科普示范协会1个；先进科普示范带头人2个；先进科普示范社区2个。资金足额及时发放，总计支付15万元。</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2.阶段性目标</w:t>
      </w:r>
    </w:p>
    <w:p>
      <w:pPr>
        <w:ind w:firstLine="560"/>
        <w:rPr>
          <w:rFonts w:hAnsi="Arial" w:cs="宋体"/>
          <w:bCs/>
          <w:color w:val="000000" w:themeColor="text1"/>
          <w14:textFill>
            <w14:solidFill>
              <w14:schemeClr w14:val="tx1"/>
            </w14:solidFill>
          </w14:textFill>
        </w:rPr>
      </w:pPr>
      <w:r>
        <w:rPr>
          <w:rFonts w:hint="eastAsia" w:hAnsi="Arial" w:cs="宋体"/>
          <w:bCs/>
          <w:color w:val="000000" w:themeColor="text1"/>
          <w14:textFill>
            <w14:solidFill>
              <w14:schemeClr w14:val="tx1"/>
            </w14:solidFill>
          </w14:textFill>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14:textFill>
            <w14:solidFill>
              <w14:schemeClr w14:val="tx1"/>
            </w14:solidFill>
          </w14:textFill>
        </w:rPr>
        <w:t>《自治区财政支出绩效评价管理暂行办法》</w:t>
      </w:r>
      <w:r>
        <w:rPr>
          <w:rFonts w:hint="eastAsia"/>
          <w:color w:val="000000" w:themeColor="text1"/>
          <w14:textFill>
            <w14:solidFill>
              <w14:schemeClr w14:val="tx1"/>
            </w14:solidFill>
          </w14:textFill>
        </w:rPr>
        <w:t>（新财预〔2018〕189号）、《中共和田地委 和田地区行署印发&lt;和田地区关于全面实施预算绩效管理实施方案&gt;的通知》（和党发〔2018〕31号）</w:t>
      </w:r>
      <w:r>
        <w:rPr>
          <w:rFonts w:hint="eastAsia" w:hAnsi="Arial" w:cs="宋体"/>
          <w:bCs/>
          <w:color w:val="000000" w:themeColor="text1"/>
          <w14:textFill>
            <w14:solidFill>
              <w14:schemeClr w14:val="tx1"/>
            </w14:solidFill>
          </w14:textFill>
        </w:rPr>
        <w:t>的规定，结合项目实施单位的规章制度以及财务相关资料，评价小组对项目绩效目标进行了进一步的完善，完善后绩效目标如下：</w:t>
      </w:r>
    </w:p>
    <w:p>
      <w:pPr>
        <w:numPr>
          <w:ilvl w:val="0"/>
          <w:numId w:val="5"/>
        </w:num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项目产出目标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①数量指标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“奖励先进科普基地（个）”指标，预期指标值为≥1；</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“奖励先进科普示范协会（个）”指标，预期指标值为≥1；</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“奖励先进科普示范带头人（个）”指标，预期指标值为≥2；</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“奖励先进科普示范社区（个）”指标，预期指标值为≥2。</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②质量指标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“基层科普行动奖补资金足额发放率（%)”指标，预期指标值为100%；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③时效指标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“基层科普行动奖补资金足额发放及时率（%)”指标，预期指标值为100%；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④成本指标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“奖补先进科普示范基地（万元）”指标，预期指标值为≤5；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“奖补先进科普示范协会（万元）”指标，预期指标值为≤5;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“奖补先进科普示范带头人（万元）”指标，预期指标值为≤3.5; </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“奖补先进科普示范社区（万元）”指标，预期指标值为≤1.5。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（2）项目效益目标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①经济效益指标</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②社会效益指标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“加强基层科普组织和人才队伍建设”指标，预期指标值为有效加强；</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③生态效益指标</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④可持续影响</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“发挥基层自科普引领作用”指标，预期指标值为效果显著；</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“全区科普宣传力度不断加大”指标，预期指标值为不断加大。</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（3）相关满意度目标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①满意度指标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“基层科普计划受益人群满意度（%）”指标，预期指标值为≥98%；</w:t>
      </w:r>
    </w:p>
    <w:p>
      <w:pPr>
        <w:pStyle w:val="3"/>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二、绩效评价工作开展情况</w:t>
      </w:r>
    </w:p>
    <w:p>
      <w:pPr>
        <w:pStyle w:val="4"/>
        <w:numPr>
          <w:ilvl w:val="0"/>
          <w:numId w:val="6"/>
        </w:numPr>
        <w:ind w:firstLine="643"/>
        <w:rPr>
          <w:rFonts w:ascii="楷体" w:hAnsi="楷体" w:cs="楷体"/>
          <w:color w:val="000000" w:themeColor="text1"/>
          <w:szCs w:val="32"/>
          <w14:textFill>
            <w14:solidFill>
              <w14:schemeClr w14:val="tx1"/>
            </w14:solidFill>
          </w14:textFill>
        </w:rPr>
      </w:pPr>
      <w:bookmarkStart w:id="0" w:name="_Toc22169_WPSOffice_Level2"/>
      <w:bookmarkStart w:id="1" w:name="_Toc5462343"/>
      <w:bookmarkStart w:id="2" w:name="_Toc22922"/>
      <w:bookmarkStart w:id="3" w:name="_Toc26632"/>
      <w:bookmarkStart w:id="4" w:name="_Toc5258"/>
      <w:bookmarkStart w:id="5" w:name="_Toc21664"/>
      <w:bookmarkStart w:id="6" w:name="_Toc12868"/>
      <w:bookmarkStart w:id="7" w:name="_Toc480473081"/>
      <w:r>
        <w:rPr>
          <w:rFonts w:hint="eastAsia" w:ascii="楷体" w:hAnsi="楷体" w:cs="楷体"/>
          <w:color w:val="000000" w:themeColor="text1"/>
          <w:szCs w:val="32"/>
          <w14:textFill>
            <w14:solidFill>
              <w14:schemeClr w14:val="tx1"/>
            </w14:solidFill>
          </w14:textFill>
        </w:rPr>
        <w:t>绩效评价的目的</w:t>
      </w:r>
      <w:bookmarkEnd w:id="0"/>
      <w:bookmarkEnd w:id="1"/>
      <w:bookmarkEnd w:id="2"/>
      <w:bookmarkEnd w:id="3"/>
      <w:bookmarkEnd w:id="4"/>
      <w:bookmarkEnd w:id="5"/>
      <w:bookmarkEnd w:id="6"/>
      <w:bookmarkEnd w:id="7"/>
      <w:r>
        <w:rPr>
          <w:rFonts w:hint="eastAsia" w:ascii="楷体" w:hAnsi="楷体" w:cs="楷体"/>
          <w:color w:val="000000" w:themeColor="text1"/>
          <w:szCs w:val="32"/>
          <w14:textFill>
            <w14:solidFill>
              <w14:schemeClr w14:val="tx1"/>
            </w14:solidFill>
          </w14:textFill>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w:t>
      </w:r>
      <w:r>
        <w:rPr>
          <w:rFonts w:hint="eastAsia"/>
          <w:color w:val="000000" w:themeColor="text1"/>
          <w14:textFill>
            <w14:solidFill>
              <w14:schemeClr w14:val="tx1"/>
            </w14:solidFill>
          </w14:textFill>
        </w:rPr>
        <w:t>和田地区基层科普行动计划项目开展部门绩效评价，本次绩效评价主要围绕项目</w:t>
      </w:r>
      <w:r>
        <w:rPr>
          <w:color w:val="000000" w:themeColor="text1"/>
          <w14:textFill>
            <w14:solidFill>
              <w14:schemeClr w14:val="tx1"/>
            </w14:solidFill>
          </w14:textFill>
        </w:rPr>
        <w:t>资金使用情况、财务管</w:t>
      </w:r>
      <w:r>
        <w:t>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6"/>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预算法》、《中共中央国务院关于全面实施预算绩效管理的意见》（中发〔2018〕34号）、《自治区党委自治区人民政府关于全面实施预算绩效管理的实施意见》（新党发〔2018〕30号）、《自治区财政支出绩效评价管理暂行办法》（新财预〔2018〕189号）、《中共和田地委 和田地区行署印发&lt;和田地区关于全面实施预算绩效管理实施方案&gt;的通知》（和党发〔2018〕31号）等要求，本次绩效评价秉承科学规范、公正公开、分级分类、绩效相关等原则，按照从投入、过程到产出效果和影响的绩效逻辑路径，结合</w:t>
      </w:r>
      <w:r>
        <w:rPr>
          <w:rFonts w:hint="eastAsia"/>
          <w:color w:val="000000" w:themeColor="text1"/>
          <w14:textFill>
            <w14:solidFill>
              <w14:schemeClr w14:val="tx1"/>
            </w14:solidFill>
          </w14:textFill>
        </w:rPr>
        <w:t>和田地区基层科普行动计划项目实际开展情</w:t>
      </w:r>
      <w:r>
        <w:rPr>
          <w:rFonts w:hint="eastAsia"/>
        </w:rPr>
        <w:t>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1913"/>
      <w:bookmarkStart w:id="9" w:name="_Toc419984722"/>
      <w:bookmarkStart w:id="10" w:name="_Toc26131"/>
      <w:bookmarkStart w:id="11" w:name="_Toc428278230"/>
      <w:r>
        <w:rPr>
          <w:rFonts w:hint="eastAsia"/>
        </w:rPr>
        <w:t>2.绩效评价指标体系</w:t>
      </w:r>
      <w:bookmarkEnd w:id="8"/>
      <w:bookmarkEnd w:id="9"/>
      <w:bookmarkEnd w:id="10"/>
      <w:bookmarkEnd w:id="11"/>
    </w:p>
    <w:p>
      <w:pPr>
        <w:spacing w:line="600" w:lineRule="exact"/>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rPr>
        <w:t>，</w:t>
      </w:r>
      <w:r>
        <w:rPr>
          <w:rFonts w:hint="eastAsia"/>
        </w:rPr>
        <w:t>指标体系结构如下：</w:t>
      </w:r>
    </w:p>
    <w:tbl>
      <w:tblPr>
        <w:tblStyle w:val="10"/>
        <w:tblW w:w="874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827"/>
        <w:gridCol w:w="1200"/>
        <w:gridCol w:w="2136"/>
        <w:gridCol w:w="371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blHeader/>
          <w:jc w:val="center"/>
        </w:trPr>
        <w:tc>
          <w:tcPr>
            <w:tcW w:w="861" w:type="dxa"/>
            <w:shd w:val="clear" w:color="auto" w:fill="FFFFFF"/>
            <w:vAlign w:val="center"/>
          </w:tcPr>
          <w:p>
            <w:pPr>
              <w:widowControl/>
              <w:snapToGrid w:val="0"/>
              <w:spacing w:line="240" w:lineRule="auto"/>
              <w:ind w:firstLine="0" w:firstLineChars="0"/>
              <w:jc w:val="center"/>
              <w:rPr>
                <w:rFonts w:ascii="仿宋_GB2312" w:hAnsi="仿宋_GB2312" w:cs="仿宋_GB2312"/>
                <w:b/>
                <w:bCs/>
                <w:color w:val="000000"/>
                <w:kern w:val="0"/>
                <w:sz w:val="24"/>
              </w:rPr>
            </w:pPr>
            <w:r>
              <w:rPr>
                <w:rFonts w:hint="eastAsia" w:ascii="仿宋_GB2312" w:hAnsi="仿宋_GB2312" w:cs="仿宋_GB2312"/>
                <w:b/>
                <w:bCs/>
                <w:color w:val="000000"/>
                <w:kern w:val="0"/>
                <w:sz w:val="24"/>
              </w:rPr>
              <w:t>一级指标</w:t>
            </w: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b/>
                <w:bCs/>
                <w:color w:val="000000"/>
                <w:kern w:val="0"/>
                <w:sz w:val="24"/>
              </w:rPr>
            </w:pPr>
            <w:r>
              <w:rPr>
                <w:rFonts w:hint="eastAsia" w:ascii="仿宋_GB2312" w:hAnsi="仿宋_GB2312" w:cs="仿宋_GB2312"/>
                <w:b/>
                <w:bCs/>
                <w:color w:val="000000"/>
                <w:kern w:val="0"/>
                <w:sz w:val="24"/>
              </w:rPr>
              <w:t>二级指标</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b/>
                <w:bCs/>
                <w:color w:val="000000"/>
                <w:kern w:val="0"/>
                <w:sz w:val="24"/>
              </w:rPr>
            </w:pPr>
            <w:r>
              <w:rPr>
                <w:rFonts w:hint="eastAsia" w:ascii="仿宋_GB2312" w:hAnsi="仿宋_GB2312" w:cs="仿宋_GB2312"/>
                <w:b/>
                <w:bCs/>
                <w:color w:val="000000"/>
                <w:kern w:val="0"/>
                <w:sz w:val="24"/>
              </w:rPr>
              <w:t>三级指标</w:t>
            </w:r>
          </w:p>
        </w:tc>
        <w:tc>
          <w:tcPr>
            <w:tcW w:w="2136" w:type="dxa"/>
            <w:shd w:val="clear" w:color="auto" w:fill="FFFFFF"/>
            <w:vAlign w:val="center"/>
          </w:tcPr>
          <w:p>
            <w:pPr>
              <w:widowControl/>
              <w:snapToGrid w:val="0"/>
              <w:spacing w:line="240" w:lineRule="auto"/>
              <w:ind w:firstLine="0" w:firstLineChars="0"/>
              <w:jc w:val="center"/>
              <w:rPr>
                <w:rFonts w:ascii="仿宋_GB2312" w:hAnsi="仿宋_GB2312" w:cs="仿宋_GB2312"/>
                <w:b/>
                <w:bCs/>
                <w:color w:val="000000"/>
                <w:kern w:val="0"/>
                <w:sz w:val="24"/>
              </w:rPr>
            </w:pPr>
            <w:r>
              <w:rPr>
                <w:rFonts w:hint="eastAsia" w:ascii="仿宋_GB2312" w:hAnsi="仿宋_GB2312" w:cs="仿宋_GB2312"/>
                <w:b/>
                <w:bCs/>
                <w:color w:val="000000"/>
                <w:kern w:val="0"/>
                <w:sz w:val="24"/>
              </w:rPr>
              <w:t>指标解释</w:t>
            </w:r>
          </w:p>
        </w:tc>
        <w:tc>
          <w:tcPr>
            <w:tcW w:w="3719" w:type="dxa"/>
            <w:shd w:val="clear" w:color="auto" w:fill="FFFFFF"/>
            <w:vAlign w:val="center"/>
          </w:tcPr>
          <w:p>
            <w:pPr>
              <w:widowControl/>
              <w:snapToGrid w:val="0"/>
              <w:spacing w:line="240" w:lineRule="auto"/>
              <w:ind w:firstLine="0" w:firstLineChars="0"/>
              <w:jc w:val="center"/>
              <w:rPr>
                <w:rFonts w:ascii="仿宋_GB2312" w:hAnsi="仿宋_GB2312" w:cs="仿宋_GB2312"/>
                <w:b/>
                <w:bCs/>
                <w:color w:val="000000"/>
                <w:kern w:val="0"/>
                <w:sz w:val="24"/>
              </w:rPr>
            </w:pPr>
            <w:r>
              <w:rPr>
                <w:rFonts w:hint="eastAsia" w:ascii="仿宋_GB2312" w:hAnsi="仿宋_GB2312" w:cs="仿宋_GB2312"/>
                <w:b/>
                <w:bCs/>
                <w:color w:val="000000"/>
                <w:kern w:val="0"/>
                <w:sz w:val="24"/>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决策</w:t>
            </w:r>
          </w:p>
        </w:tc>
        <w:tc>
          <w:tcPr>
            <w:tcW w:w="827"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项目立项</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立项依据</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充分性</w:t>
            </w:r>
          </w:p>
        </w:tc>
        <w:tc>
          <w:tcPr>
            <w:tcW w:w="2136"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项目立项是否符合法律法规、相关政策、发展规划以及部门职责，用以反映和考核项目立项依据情况。</w:t>
            </w:r>
          </w:p>
        </w:tc>
        <w:tc>
          <w:tcPr>
            <w:tcW w:w="3719" w:type="dxa"/>
            <w:shd w:val="clear" w:color="auto" w:fill="FFFFFF"/>
            <w:vAlign w:val="center"/>
          </w:tcPr>
          <w:p>
            <w:pPr>
              <w:widowControl/>
              <w:snapToGrid w:val="0"/>
              <w:spacing w:line="240" w:lineRule="auto"/>
              <w:ind w:firstLine="0" w:firstLineChars="0"/>
              <w:jc w:val="left"/>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①项目立项是否符合国家法律法规、国民经济发展规划和相关政策；</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②项目立项是否符合行业发展规划和政策要求；</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③项目立项是否与部门职责范围相符，属于部门履职所需；</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④项目是否属于公共财政支持范围，是否符合中央、地方事权支出责任划分原则；</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立项程序</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规范性</w:t>
            </w:r>
          </w:p>
        </w:tc>
        <w:tc>
          <w:tcPr>
            <w:tcW w:w="2136"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项目申请、设立过程是否符合相关要求，用以反映和考核项目立项的规范情况。</w:t>
            </w:r>
          </w:p>
        </w:tc>
        <w:tc>
          <w:tcPr>
            <w:tcW w:w="3719" w:type="dxa"/>
            <w:shd w:val="clear" w:color="auto" w:fill="FFFFFF"/>
            <w:vAlign w:val="center"/>
          </w:tcPr>
          <w:p>
            <w:pPr>
              <w:widowControl/>
              <w:snapToGrid w:val="0"/>
              <w:spacing w:line="240" w:lineRule="auto"/>
              <w:ind w:firstLine="0" w:firstLineChars="0"/>
              <w:jc w:val="left"/>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①项目是否按照规定的程序申请设立；</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②审批文件、材料是否符合相关要求；</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绩效目标　</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绩效目标</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合理性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项目所设定的绩效目标是否依据充分，是否符合客观实际，用以反映和考核项目绩效目标与项目实施的相符情况。</w:t>
            </w:r>
          </w:p>
        </w:tc>
        <w:tc>
          <w:tcPr>
            <w:tcW w:w="3719" w:type="dxa"/>
            <w:shd w:val="clear" w:color="000000" w:fill="FFFFFF"/>
            <w:vAlign w:val="center"/>
          </w:tcPr>
          <w:p>
            <w:pPr>
              <w:widowControl/>
              <w:snapToGrid w:val="0"/>
              <w:spacing w:line="240" w:lineRule="auto"/>
              <w:ind w:firstLine="0" w:firstLineChars="0"/>
              <w:jc w:val="left"/>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（如未设定预算绩效目标，也可考核其他工作任务目标）</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①项目是否有绩效目标；</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②项目绩效目标与实际工作内容是否具有相关性；</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③项目预期产出效益和效果是否符合正常的业绩水平；</w:t>
            </w:r>
          </w:p>
          <w:p>
            <w:pPr>
              <w:widowControl/>
              <w:snapToGrid w:val="0"/>
              <w:spacing w:line="240" w:lineRule="auto"/>
              <w:ind w:firstLine="0" w:firstLineChars="0"/>
              <w:jc w:val="left"/>
              <w:rPr>
                <w:rFonts w:ascii="仿宋_GB2312" w:hAnsi="仿宋_GB2312" w:cs="仿宋_GB2312"/>
                <w:color w:val="000000"/>
                <w:kern w:val="0"/>
                <w:sz w:val="24"/>
              </w:rPr>
            </w:pPr>
            <w:r>
              <w:rPr>
                <w:rFonts w:hint="eastAsia" w:ascii="仿宋_GB2312" w:hAnsi="仿宋_GB2312" w:cs="仿宋_GB2312"/>
                <w:color w:val="000000"/>
                <w:kern w:val="0"/>
                <w:sz w:val="24"/>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决策　</w:t>
            </w: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绩效目标</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绩效指标</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明确性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依据绩效目标设定的绩效指标是否清晰、细化、可衡量等，用以反映和考核项目绩效目标的明细化情况。</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①是否将项目绩效目标细化分解为具体的绩效指标；</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②是否通过清晰、可衡量的指标值予以体现；</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资金投入</w:t>
            </w:r>
          </w:p>
          <w:p>
            <w:pPr>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　</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预算编制</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科学性</w:t>
            </w:r>
          </w:p>
        </w:tc>
        <w:tc>
          <w:tcPr>
            <w:tcW w:w="2136"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项目预算编制是否经过科学论证、有明确标准，资金额度与年度目标是否相适应，用以反映和考核项目预算编制的科学性、合理性情况。</w:t>
            </w:r>
          </w:p>
        </w:tc>
        <w:tc>
          <w:tcPr>
            <w:tcW w:w="3719"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①预算编制是否经过科学论证；</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②预算内容与项目内容是否匹配；</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③预算额度测算依据是否充分，是否按照标准编制；</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827"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资金分配</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合理性</w:t>
            </w:r>
          </w:p>
        </w:tc>
        <w:tc>
          <w:tcPr>
            <w:tcW w:w="2136"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项目预算资金分配是否有测算依据，与补助单位或地方实际是否相适应，用以反映和考核项目预算资金分配的科学性、合理性情况。</w:t>
            </w:r>
          </w:p>
        </w:tc>
        <w:tc>
          <w:tcPr>
            <w:tcW w:w="3719"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①预算资金分配依据是否充分；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过程</w:t>
            </w:r>
          </w:p>
        </w:tc>
        <w:tc>
          <w:tcPr>
            <w:tcW w:w="827"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资金管理</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资金到位率</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实际到位资金与预算资金的比率，用以反映和考核资金落实情况对项目实施的总体保障程度。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资金到位率=（实际到位资金/预算资金）×100%。</w:t>
            </w:r>
          </w:p>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实际到位资金：一定时期（本年度或项目期）内落实到具体项目的资金。</w:t>
            </w:r>
          </w:p>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预算执行率</w:t>
            </w:r>
          </w:p>
        </w:tc>
        <w:tc>
          <w:tcPr>
            <w:tcW w:w="2136"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项目预算资金是否按照计划执行，用以反映或考核项目预算执行情况。</w:t>
            </w:r>
          </w:p>
        </w:tc>
        <w:tc>
          <w:tcPr>
            <w:tcW w:w="3719"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预算执行率=（实际支出资金/实际到位资金）×100%。</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　</w:t>
            </w:r>
          </w:p>
          <w:p>
            <w:pPr>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过程　</w:t>
            </w: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资金管理</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资金使用</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合规性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项目资金使用是否符合相关的财务管理制度规定，用以反映和考核项目资金的规范运行情况。</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①是否符合国家财经法规和财务管理制度以及有关专项资金管理办法的规定；</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②资金的拨付是否有完整的审批程序和手续；</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③是否符合项目预算批复或合同规定的用途；</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组织实施</w:t>
            </w:r>
          </w:p>
          <w:p>
            <w:pPr>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　</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管理制度</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健全性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项目实施单位的财务和业务管理制度是否健全，用以反映和考核财务和业务管理制度对项目顺利实施的保障情况。</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①是否已制定或具有相应的财务和业务管理制度；</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827"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制度执行</w:t>
            </w:r>
          </w:p>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有效性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项目实施是否符合相关管理规定，用以反映和考核相关管理制度的有效执行情况。</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评价标准：</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①是否遵守相关法律法规和相关管理规定；</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②项目调整及支出调整手续是否完备；</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③项目合同书、验收报告、技术鉴定等资料是否齐全并及时归档；</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w:t>
            </w: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产出数量</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实际完成率</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项目实施的实际产出数与计划产出数的比率，用以反映和考核项目产出数量目标的实现程度。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实际完成率=（实际产出数/计划产出数）×100%。</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实际产出数：一定时期（本年度或项目期）内项目实际产出的产品或提供的服务数量。</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w:t>
            </w: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产出质量</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质量达标率</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项目完成的质量达标产出数与实际产出数的比率，用以反映和考核项目产出质量目标的实现程度。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质量达标率=（质量达标产出数/实际产出数）×100%。</w:t>
            </w:r>
          </w:p>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p>
        </w:tc>
        <w:tc>
          <w:tcPr>
            <w:tcW w:w="827" w:type="dxa"/>
            <w:shd w:val="clear" w:color="auto" w:fill="FFFFFF"/>
            <w:vAlign w:val="center"/>
          </w:tcPr>
          <w:p>
            <w:pPr>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产出时效</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完成及时性</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项目实际完成时间与计划完成时间的比较，用以反映和考核项目产出时效目标的实现程度。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实际完成时间：项目实施单位完成该项目实际所耗用的时间。</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827"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产出成本</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成本节约率</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完成项目计划工作目标的实际节约成本与计划成本的比率，用以反映和考核项目的成本节约程度。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成本节约率=[（计划成本-实际成本）/计划成本]×100%。</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实际成本：项目实施单位如期、保质、保量完成既定工作目标实际所耗费的支出。</w:t>
            </w:r>
            <w:r>
              <w:rPr>
                <w:rFonts w:hint="eastAsia" w:ascii="仿宋_GB2312" w:hAnsi="仿宋_GB2312" w:cs="仿宋_GB2312"/>
                <w:color w:val="000000"/>
                <w:kern w:val="0"/>
                <w:sz w:val="24"/>
              </w:rPr>
              <w:br w:type="textWrapping"/>
            </w:r>
            <w:r>
              <w:rPr>
                <w:rFonts w:hint="eastAsia" w:ascii="仿宋_GB2312" w:hAnsi="仿宋_GB2312" w:cs="仿宋_GB2312"/>
                <w:color w:val="000000"/>
                <w:kern w:val="0"/>
                <w:sz w:val="24"/>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效益　</w:t>
            </w:r>
          </w:p>
        </w:tc>
        <w:tc>
          <w:tcPr>
            <w:tcW w:w="827" w:type="dxa"/>
            <w:vMerge w:val="restart"/>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项目效益　</w:t>
            </w: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实施效益</w:t>
            </w:r>
          </w:p>
        </w:tc>
        <w:tc>
          <w:tcPr>
            <w:tcW w:w="2136" w:type="dxa"/>
            <w:shd w:val="clear" w:color="auto" w:fill="FFFFFF"/>
            <w:vAlign w:val="center"/>
          </w:tcPr>
          <w:p>
            <w:pPr>
              <w:widowControl/>
              <w:snapToGrid w:val="0"/>
              <w:spacing w:line="240" w:lineRule="auto"/>
              <w:ind w:firstLine="0" w:firstLineChars="0"/>
              <w:jc w:val="left"/>
              <w:rPr>
                <w:rFonts w:ascii="仿宋_GB2312" w:hAnsi="仿宋_GB2312" w:cs="仿宋_GB2312"/>
                <w:color w:val="000000"/>
                <w:kern w:val="0"/>
                <w:sz w:val="24"/>
              </w:rPr>
            </w:pPr>
            <w:r>
              <w:rPr>
                <w:rFonts w:hint="eastAsia" w:ascii="仿宋_GB2312" w:hAnsi="仿宋_GB2312" w:cs="仿宋_GB2312"/>
                <w:color w:val="000000"/>
                <w:kern w:val="0"/>
                <w:sz w:val="24"/>
              </w:rPr>
              <w:t>项目实施所产生的效益。</w:t>
            </w:r>
          </w:p>
        </w:tc>
        <w:tc>
          <w:tcPr>
            <w:tcW w:w="3719" w:type="dxa"/>
            <w:shd w:val="clear" w:color="auto"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jc w:val="center"/>
        </w:trPr>
        <w:tc>
          <w:tcPr>
            <w:tcW w:w="861"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827" w:type="dxa"/>
            <w:vMerge w:val="continue"/>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p>
        </w:tc>
        <w:tc>
          <w:tcPr>
            <w:tcW w:w="1200" w:type="dxa"/>
            <w:shd w:val="clear" w:color="auto" w:fill="FFFFFF"/>
            <w:vAlign w:val="center"/>
          </w:tcPr>
          <w:p>
            <w:pPr>
              <w:widowControl/>
              <w:snapToGrid w:val="0"/>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满意度</w:t>
            </w:r>
          </w:p>
        </w:tc>
        <w:tc>
          <w:tcPr>
            <w:tcW w:w="2136"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社会公众或服务对象对项目实施效果的满意程度。</w:t>
            </w:r>
          </w:p>
        </w:tc>
        <w:tc>
          <w:tcPr>
            <w:tcW w:w="3719" w:type="dxa"/>
            <w:shd w:val="clear" w:color="000000" w:fill="FFFFFF"/>
            <w:vAlign w:val="center"/>
          </w:tcPr>
          <w:p>
            <w:pPr>
              <w:widowControl/>
              <w:snapToGrid w:val="0"/>
              <w:spacing w:line="240" w:lineRule="auto"/>
              <w:ind w:firstLine="0" w:firstLineChars="0"/>
              <w:rPr>
                <w:rFonts w:ascii="仿宋_GB2312" w:hAnsi="仿宋_GB2312" w:cs="仿宋_GB2312"/>
                <w:color w:val="000000"/>
                <w:kern w:val="0"/>
                <w:sz w:val="24"/>
              </w:rPr>
            </w:pPr>
            <w:r>
              <w:rPr>
                <w:rFonts w:hint="eastAsia" w:ascii="仿宋_GB2312" w:hAnsi="仿宋_GB2312" w:cs="仿宋_GB2312"/>
                <w:color w:val="000000"/>
                <w:kern w:val="0"/>
                <w:sz w:val="24"/>
              </w:rPr>
              <w:t>社会公众或服务对象是指因该项目实施而受到影响的部门（单位）、群体或个人。一般采取社会调查的方式。</w:t>
            </w:r>
          </w:p>
        </w:tc>
      </w:tr>
    </w:tbl>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6"/>
        </w:numPr>
        <w:ind w:firstLine="643"/>
      </w:pPr>
      <w:r>
        <w:rPr>
          <w:rFonts w:hint="eastAsia"/>
        </w:rPr>
        <w:t>绩效评价工作过程</w:t>
      </w:r>
    </w:p>
    <w:p>
      <w:r>
        <w:rPr>
          <w:rFonts w:hint="eastAsia"/>
        </w:rPr>
        <w:t>本次评价设计了评价方案、评价指标体系，通过资料分析、调研、访谈满意度调查等方式形成评价结论，确定评价意见，并出具评价报告。　</w:t>
      </w:r>
    </w:p>
    <w:p>
      <w:pPr>
        <w:pStyle w:val="3"/>
        <w:numPr>
          <w:ilvl w:val="0"/>
          <w:numId w:val="7"/>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color w:val="000000" w:themeColor="text1"/>
          <w14:textFill>
            <w14:solidFill>
              <w14:schemeClr w14:val="tx1"/>
            </w14:solidFill>
          </w14:textFill>
        </w:rPr>
        <w:t>和田地区基层科普行动计划项目项</w:t>
      </w:r>
      <w:r>
        <w:rPr>
          <w:rFonts w:hint="eastAsia"/>
        </w:rPr>
        <w:t>目</w:t>
      </w:r>
      <w:r>
        <w:rPr>
          <w:rFonts w:hint="eastAsia"/>
          <w:lang w:val="zh-TW" w:eastAsia="zh-TW"/>
        </w:rPr>
        <w:t>绩效进行客观评价，最终评分结果：</w:t>
      </w:r>
      <w:r>
        <w:rPr>
          <w:rFonts w:hint="eastAsia"/>
          <w:color w:val="000000" w:themeColor="text1"/>
          <w:lang w:val="zh-TW" w:eastAsia="zh-TW"/>
          <w14:textFill>
            <w14:solidFill>
              <w14:schemeClr w14:val="tx1"/>
            </w14:solidFill>
          </w14:textFill>
        </w:rPr>
        <w:t>总分为</w:t>
      </w:r>
      <w:r>
        <w:rPr>
          <w:rFonts w:hint="eastAsia"/>
          <w:color w:val="000000" w:themeColor="text1"/>
          <w14:textFill>
            <w14:solidFill>
              <w14:schemeClr w14:val="tx1"/>
            </w14:solidFill>
          </w14:textFill>
        </w:rPr>
        <w:t>97.51</w:t>
      </w:r>
      <w:r>
        <w:rPr>
          <w:rFonts w:hint="eastAsia"/>
          <w:color w:val="000000" w:themeColor="text1"/>
          <w:lang w:val="zh-TW" w:eastAsia="zh-TW"/>
          <w14:textFill>
            <w14:solidFill>
              <w14:schemeClr w14:val="tx1"/>
            </w14:solidFill>
          </w14:textFill>
        </w:rPr>
        <w:t>分</w:t>
      </w:r>
      <w:r>
        <w:rPr>
          <w:rFonts w:hint="eastAsia"/>
          <w:lang w:val="zh-TW" w:eastAsia="zh-TW"/>
        </w:rPr>
        <w:t>，绩效评级为“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tbl>
      <w:tblPr>
        <w:tblStyle w:val="10"/>
        <w:tblW w:w="8289" w:type="dxa"/>
        <w:jc w:val="center"/>
        <w:tblLayout w:type="fixed"/>
        <w:tblCellMar>
          <w:top w:w="0" w:type="dxa"/>
          <w:left w:w="0" w:type="dxa"/>
          <w:bottom w:w="0" w:type="dxa"/>
          <w:right w:w="0" w:type="dxa"/>
        </w:tblCellMar>
      </w:tblPr>
      <w:tblGrid>
        <w:gridCol w:w="1022"/>
        <w:gridCol w:w="1270"/>
        <w:gridCol w:w="1399"/>
        <w:gridCol w:w="1399"/>
        <w:gridCol w:w="1668"/>
        <w:gridCol w:w="1531"/>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表3-1：</w:t>
            </w:r>
            <w:r>
              <w:rPr>
                <w:rFonts w:hint="eastAsia"/>
                <w:color w:val="000000" w:themeColor="text1"/>
                <w14:textFill>
                  <w14:solidFill>
                    <w14:schemeClr w14:val="tx1"/>
                  </w14:solidFill>
                </w14:textFill>
              </w:rPr>
              <w:t>和田地区基层科普行动计划项目</w:t>
            </w:r>
            <w:r>
              <w:rPr>
                <w:rFonts w:hint="eastAsia" w:ascii="宋体" w:hAnsi="宋体" w:eastAsia="宋体" w:cs="宋体"/>
                <w:b/>
                <w:color w:val="000000"/>
                <w:kern w:val="0"/>
                <w:sz w:val="24"/>
                <w:lang w:bidi="ar"/>
              </w:rPr>
              <w:t>得分表</w:t>
            </w:r>
          </w:p>
        </w:tc>
      </w:tr>
      <w:tr>
        <w:tblPrEx>
          <w:tblCellMar>
            <w:top w:w="0" w:type="dxa"/>
            <w:left w:w="0" w:type="dxa"/>
            <w:bottom w:w="0" w:type="dxa"/>
            <w:right w:w="0" w:type="dxa"/>
          </w:tblCellMar>
        </w:tblPrEx>
        <w:trPr>
          <w:trHeight w:val="375"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指标类别</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1.项目决策</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2.过程管理</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3.项目产出</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4.项目效益</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合计</w:t>
            </w:r>
          </w:p>
        </w:tc>
      </w:tr>
      <w:tr>
        <w:tblPrEx>
          <w:tblCellMar>
            <w:top w:w="0" w:type="dxa"/>
            <w:left w:w="0" w:type="dxa"/>
            <w:bottom w:w="0" w:type="dxa"/>
            <w:right w:w="0" w:type="dxa"/>
          </w:tblCellMar>
        </w:tblPrEx>
        <w:trPr>
          <w:trHeight w:val="375"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权重</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0" w:type="dxa"/>
            <w:bottom w:w="0" w:type="dxa"/>
            <w:right w:w="0" w:type="dxa"/>
          </w:tblCellMar>
        </w:tblPrEx>
        <w:trPr>
          <w:trHeight w:val="375"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27.51</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97.51</w:t>
            </w:r>
          </w:p>
        </w:tc>
      </w:tr>
      <w:tr>
        <w:tblPrEx>
          <w:tblCellMar>
            <w:top w:w="0" w:type="dxa"/>
            <w:left w:w="0" w:type="dxa"/>
            <w:bottom w:w="0" w:type="dxa"/>
            <w:right w:w="0" w:type="dxa"/>
          </w:tblCellMar>
        </w:tblPrEx>
        <w:trPr>
          <w:trHeight w:val="375"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得分率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98%</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项目决策由4个二级指标和6个三级指标构成，权重分20分，实际得分20分，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rPr>
        <w:t>和田地区基层科普行动计划</w:t>
      </w:r>
      <w:r>
        <w:rPr>
          <w:rFonts w:hint="eastAsia"/>
          <w:b/>
          <w:bCs/>
          <w:color w:val="000000"/>
          <w:u w:color="000000"/>
          <w:lang w:val="zh-TW" w:eastAsia="zh-TW"/>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51"/>
        <w:gridCol w:w="794"/>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20</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rPr>
        <w:t>和田地区基层科普行动计划</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644"/>
        <w:gridCol w:w="1176"/>
        <w:gridCol w:w="1153"/>
      </w:tblGrid>
      <w:tr>
        <w:tblPrEx>
          <w:tblCellMar>
            <w:top w:w="0" w:type="dxa"/>
            <w:left w:w="0" w:type="dxa"/>
            <w:bottom w:w="0" w:type="dxa"/>
            <w:right w:w="0" w:type="dxa"/>
          </w:tblCellMar>
        </w:tblPrEx>
        <w:trPr>
          <w:trHeight w:val="90"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numPr>
          <w:ilvl w:val="0"/>
          <w:numId w:val="6"/>
        </w:numPr>
        <w:ind w:firstLine="643"/>
      </w:pPr>
      <w:r>
        <w:rPr>
          <w:rFonts w:hint="eastAsia"/>
        </w:rPr>
        <w:t>项目产出情况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10</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30</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rFonts w:ascii="仿宋_GB2312" w:hAnsi="仿宋_GB2312" w:cs="仿宋_GB2312"/>
          <w:b/>
          <w:bCs/>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4-3</w:t>
      </w:r>
      <w:r>
        <w:rPr>
          <w:rFonts w:hint="eastAsia"/>
          <w:b/>
          <w:bCs/>
          <w:color w:val="000000"/>
          <w:u w:color="000000"/>
          <w:lang w:val="zh-TW"/>
        </w:rPr>
        <w:t>和田地区基层科普行动计划</w:t>
      </w:r>
      <w:r>
        <w:rPr>
          <w:rFonts w:hint="eastAsia"/>
          <w:b/>
          <w:bCs/>
          <w:color w:val="000000"/>
          <w:u w:color="000000"/>
          <w:lang w:val="zh-TW" w:eastAsia="zh-TW"/>
        </w:rPr>
        <w:t>项目</w:t>
      </w:r>
      <w:r>
        <w:rPr>
          <w:rFonts w:hint="eastAsia" w:ascii="仿宋_GB2312" w:hAnsi="仿宋_GB2312" w:cs="仿宋_GB2312"/>
          <w:b/>
          <w:bCs/>
        </w:rPr>
        <w:t>产出</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8869" w:type="dxa"/>
        <w:tblInd w:w="0" w:type="dxa"/>
        <w:tblLayout w:type="fixed"/>
        <w:tblCellMar>
          <w:top w:w="0" w:type="dxa"/>
          <w:left w:w="0" w:type="dxa"/>
          <w:bottom w:w="0" w:type="dxa"/>
          <w:right w:w="0" w:type="dxa"/>
        </w:tblCellMar>
      </w:tblPr>
      <w:tblGrid>
        <w:gridCol w:w="595"/>
        <w:gridCol w:w="990"/>
        <w:gridCol w:w="4334"/>
        <w:gridCol w:w="813"/>
        <w:gridCol w:w="504"/>
        <w:gridCol w:w="669"/>
        <w:gridCol w:w="497"/>
        <w:gridCol w:w="467"/>
      </w:tblGrid>
      <w:tr>
        <w:tblPrEx>
          <w:tblCellMar>
            <w:top w:w="0" w:type="dxa"/>
            <w:left w:w="0" w:type="dxa"/>
            <w:bottom w:w="0" w:type="dxa"/>
            <w:right w:w="0" w:type="dxa"/>
          </w:tblCellMar>
        </w:tblPrEx>
        <w:trPr>
          <w:trHeight w:val="23" w:hRule="atLeast"/>
        </w:trPr>
        <w:tc>
          <w:tcPr>
            <w:tcW w:w="59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一级指标</w:t>
            </w:r>
          </w:p>
        </w:tc>
        <w:tc>
          <w:tcPr>
            <w:tcW w:w="99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二级指标</w:t>
            </w:r>
          </w:p>
        </w:tc>
        <w:tc>
          <w:tcPr>
            <w:tcW w:w="4334"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三级指标</w:t>
            </w:r>
          </w:p>
        </w:tc>
        <w:tc>
          <w:tcPr>
            <w:tcW w:w="81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年度指标值</w:t>
            </w:r>
          </w:p>
        </w:tc>
        <w:tc>
          <w:tcPr>
            <w:tcW w:w="504"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标杆分值</w:t>
            </w:r>
          </w:p>
        </w:tc>
        <w:tc>
          <w:tcPr>
            <w:tcW w:w="669"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全年实际完成值</w:t>
            </w:r>
          </w:p>
        </w:tc>
        <w:tc>
          <w:tcPr>
            <w:tcW w:w="497"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指标得分</w:t>
            </w:r>
          </w:p>
        </w:tc>
        <w:tc>
          <w:tcPr>
            <w:tcW w:w="467"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备注</w:t>
            </w:r>
          </w:p>
        </w:tc>
      </w:tr>
      <w:tr>
        <w:tblPrEx>
          <w:tblCellMar>
            <w:top w:w="0" w:type="dxa"/>
            <w:left w:w="0" w:type="dxa"/>
            <w:bottom w:w="0" w:type="dxa"/>
            <w:right w:w="0" w:type="dxa"/>
          </w:tblCellMar>
        </w:tblPrEx>
        <w:trPr>
          <w:trHeight w:val="23" w:hRule="atLeast"/>
        </w:trPr>
        <w:tc>
          <w:tcPr>
            <w:tcW w:w="59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产出</w:t>
            </w: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数量指标</w:t>
            </w: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奖励先进科普基地（个）</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奖励先进科普示范协会（个）</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奖励先进科普示范带头人（个）</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奖励先进科普示范社区（个）</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质量指标</w:t>
            </w: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基层科普行动奖补资金足额发放率（%)</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100%</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时效指标</w:t>
            </w: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基层科普行动奖补资金足额发放及时率（%)</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100%</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成本指标</w:t>
            </w: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奖补先进科普示范基地（万元）</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tabs>
                <w:tab w:val="left" w:pos="560"/>
              </w:tabs>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sz w:val="21"/>
                <w:szCs w:val="21"/>
              </w:rPr>
            </w:pPr>
            <w:r>
              <w:rPr>
                <w:rFonts w:hint="eastAsia" w:ascii="仿宋" w:hAnsi="仿宋" w:eastAsia="仿宋" w:cs="仿宋"/>
                <w:sz w:val="21"/>
                <w:szCs w:val="21"/>
              </w:rPr>
              <w:t>5</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奖补先进科普示范协会（万元）</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5</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奖补先进科普示范带头人（万元）</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3.5</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5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3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奖补先进科普示范社区（万元）</w:t>
            </w:r>
          </w:p>
        </w:tc>
        <w:tc>
          <w:tcPr>
            <w:tcW w:w="8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1.5</w:t>
            </w: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6732"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合计</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30</w:t>
            </w:r>
          </w:p>
        </w:tc>
        <w:tc>
          <w:tcPr>
            <w:tcW w:w="6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4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30</w:t>
            </w:r>
          </w:p>
        </w:tc>
        <w:tc>
          <w:tcPr>
            <w:tcW w:w="4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p>
        </w:tc>
      </w:tr>
    </w:tbl>
    <w:p>
      <w:pPr>
        <w:pStyle w:val="4"/>
        <w:numPr>
          <w:ilvl w:val="0"/>
          <w:numId w:val="6"/>
        </w:numPr>
        <w:ind w:firstLine="643"/>
      </w:pPr>
      <w:r>
        <w:rPr>
          <w:rFonts w:hint="eastAsia"/>
        </w:rPr>
        <w:t>项目效益情况</w:t>
      </w:r>
    </w:p>
    <w:p>
      <w:pPr>
        <w:ind w:firstLine="560"/>
        <w:rPr>
          <w:color w:val="000000"/>
          <w:u w:color="000000"/>
          <w:lang w:val="zh-TW" w:eastAsia="zh-TW"/>
        </w:rPr>
      </w:pPr>
      <w:r>
        <w:rPr>
          <w:rFonts w:hint="eastAsia"/>
          <w:color w:val="000000" w:themeColor="text1"/>
          <w:u w:color="000000"/>
          <w:lang w:val="zh-TW" w:eastAsia="zh-TW"/>
          <w14:textFill>
            <w14:solidFill>
              <w14:schemeClr w14:val="tx1"/>
            </w14:solidFill>
          </w14:textFill>
        </w:rPr>
        <w:t>项目</w:t>
      </w:r>
      <w:r>
        <w:rPr>
          <w:rFonts w:hint="eastAsia" w:ascii="仿宋_GB2312"/>
          <w:color w:val="000000" w:themeColor="text1"/>
          <w14:textFill>
            <w14:solidFill>
              <w14:schemeClr w14:val="tx1"/>
            </w14:solidFill>
          </w14:textFill>
        </w:rPr>
        <w:t>产出</w:t>
      </w:r>
      <w:r>
        <w:rPr>
          <w:rFonts w:hint="eastAsia"/>
          <w:color w:val="000000" w:themeColor="text1"/>
          <w:u w:color="000000"/>
          <w:lang w:val="zh-TW" w:eastAsia="zh-TW"/>
          <w14:textFill>
            <w14:solidFill>
              <w14:schemeClr w14:val="tx1"/>
            </w14:solidFill>
          </w14:textFill>
        </w:rPr>
        <w:t>类指标由</w:t>
      </w:r>
      <w:r>
        <w:rPr>
          <w:rFonts w:hint="eastAsia"/>
          <w:color w:val="000000" w:themeColor="text1"/>
          <w:u w:color="000000"/>
          <w14:textFill>
            <w14:solidFill>
              <w14:schemeClr w14:val="tx1"/>
            </w14:solidFill>
          </w14:textFill>
        </w:rPr>
        <w:t>3</w:t>
      </w:r>
      <w:r>
        <w:rPr>
          <w:rFonts w:hint="eastAsia"/>
          <w:color w:val="000000" w:themeColor="text1"/>
          <w:u w:color="000000"/>
          <w:lang w:val="zh-TW" w:eastAsia="zh-TW"/>
          <w14:textFill>
            <w14:solidFill>
              <w14:schemeClr w14:val="tx1"/>
            </w14:solidFill>
          </w14:textFill>
        </w:rPr>
        <w:t>个</w:t>
      </w:r>
      <w:r>
        <w:rPr>
          <w:rFonts w:hint="eastAsia"/>
          <w:color w:val="000000" w:themeColor="text1"/>
          <w:u w:color="000000"/>
          <w:lang w:val="zh-TW"/>
          <w14:textFill>
            <w14:solidFill>
              <w14:schemeClr w14:val="tx1"/>
            </w14:solidFill>
          </w14:textFill>
        </w:rPr>
        <w:t>二</w:t>
      </w:r>
      <w:r>
        <w:rPr>
          <w:rFonts w:hint="eastAsia"/>
          <w:color w:val="000000" w:themeColor="text1"/>
          <w:u w:color="000000"/>
          <w:lang w:val="zh-TW" w:eastAsia="zh-TW"/>
          <w14:textFill>
            <w14:solidFill>
              <w14:schemeClr w14:val="tx1"/>
            </w14:solidFill>
          </w14:textFill>
        </w:rPr>
        <w:t>级指标和</w:t>
      </w:r>
      <w:r>
        <w:rPr>
          <w:rFonts w:hint="eastAsia"/>
          <w:color w:val="000000" w:themeColor="text1"/>
          <w:u w:color="000000"/>
          <w14:textFill>
            <w14:solidFill>
              <w14:schemeClr w14:val="tx1"/>
            </w14:solidFill>
          </w14:textFill>
        </w:rPr>
        <w:t>4</w:t>
      </w:r>
      <w:r>
        <w:rPr>
          <w:rFonts w:hint="eastAsia"/>
          <w:color w:val="000000" w:themeColor="text1"/>
          <w:u w:color="000000"/>
          <w:lang w:val="zh-TW" w:eastAsia="zh-TW"/>
          <w14:textFill>
            <w14:solidFill>
              <w14:schemeClr w14:val="tx1"/>
            </w14:solidFill>
          </w14:textFill>
        </w:rPr>
        <w:t>个</w:t>
      </w:r>
      <w:r>
        <w:rPr>
          <w:rFonts w:hint="eastAsia"/>
          <w:color w:val="000000" w:themeColor="text1"/>
          <w:u w:color="000000"/>
          <w14:textFill>
            <w14:solidFill>
              <w14:schemeClr w14:val="tx1"/>
            </w14:solidFill>
          </w14:textFill>
        </w:rPr>
        <w:t>三</w:t>
      </w:r>
      <w:r>
        <w:rPr>
          <w:rFonts w:hint="eastAsia"/>
          <w:color w:val="000000" w:themeColor="text1"/>
          <w:u w:color="000000"/>
          <w:lang w:val="zh-TW" w:eastAsia="zh-TW"/>
          <w14:textFill>
            <w14:solidFill>
              <w14:schemeClr w14:val="tx1"/>
            </w14:solidFill>
          </w14:textFill>
        </w:rPr>
        <w:t>级指标构成，权重分</w:t>
      </w:r>
      <w:r>
        <w:rPr>
          <w:rFonts w:hint="eastAsia"/>
          <w:color w:val="000000" w:themeColor="text1"/>
          <w:u w:color="000000"/>
          <w14:textFill>
            <w14:solidFill>
              <w14:schemeClr w14:val="tx1"/>
            </w14:solidFill>
          </w14:textFill>
        </w:rPr>
        <w:t>30</w:t>
      </w:r>
      <w:r>
        <w:rPr>
          <w:rFonts w:hint="eastAsia"/>
          <w:color w:val="000000" w:themeColor="text1"/>
          <w:u w:color="000000"/>
          <w:lang w:val="zh-TW" w:eastAsia="zh-TW"/>
          <w14:textFill>
            <w14:solidFill>
              <w14:schemeClr w14:val="tx1"/>
            </w14:solidFill>
          </w14:textFill>
        </w:rPr>
        <w:t>分，实际得分</w:t>
      </w:r>
      <w:r>
        <w:rPr>
          <w:rFonts w:hint="eastAsia"/>
          <w:color w:val="000000" w:themeColor="text1"/>
          <w:u w:color="000000"/>
          <w14:textFill>
            <w14:solidFill>
              <w14:schemeClr w14:val="tx1"/>
            </w14:solidFill>
          </w14:textFill>
        </w:rPr>
        <w:t>27.51</w:t>
      </w:r>
      <w:r>
        <w:rPr>
          <w:rFonts w:hint="eastAsia"/>
          <w:color w:val="000000" w:themeColor="text1"/>
          <w:u w:color="000000"/>
          <w:lang w:val="zh-TW" w:eastAsia="zh-TW"/>
          <w14:textFill>
            <w14:solidFill>
              <w14:schemeClr w14:val="tx1"/>
            </w14:solidFill>
          </w14:textFill>
        </w:rPr>
        <w:t>分</w:t>
      </w:r>
      <w:r>
        <w:rPr>
          <w:rFonts w:hint="eastAsia"/>
          <w:color w:val="000000" w:themeColor="text1"/>
          <w:u w:color="000000"/>
          <w:lang w:val="zh-TW"/>
          <w14:textFill>
            <w14:solidFill>
              <w14:schemeClr w14:val="tx1"/>
            </w14:solidFill>
          </w14:textFill>
        </w:rPr>
        <w:t>，</w:t>
      </w:r>
      <w:r>
        <w:rPr>
          <w:rFonts w:hint="eastAsia"/>
          <w:color w:val="000000" w:themeColor="text1"/>
          <w:u w:color="000000"/>
          <w:lang w:val="zh-TW" w:eastAsia="zh-TW"/>
          <w14:textFill>
            <w14:solidFill>
              <w14:schemeClr w14:val="tx1"/>
            </w14:solidFill>
          </w14:textFill>
        </w:rPr>
        <w:t>各指标业绩值和绩效分值如表</w:t>
      </w:r>
      <w:r>
        <w:rPr>
          <w:rFonts w:hint="eastAsia"/>
          <w:color w:val="000000" w:themeColor="text1"/>
          <w:u w:color="000000"/>
          <w14:textFill>
            <w14:solidFill>
              <w14:schemeClr w14:val="tx1"/>
            </w14:solidFill>
          </w14:textFill>
        </w:rPr>
        <w:t>4</w:t>
      </w:r>
      <w:r>
        <w:rPr>
          <w:color w:val="000000" w:themeColor="text1"/>
          <w:u w:color="000000"/>
          <w14:textFill>
            <w14:solidFill>
              <w14:schemeClr w14:val="tx1"/>
            </w14:solidFill>
          </w14:textFill>
        </w:rPr>
        <w:t>-</w:t>
      </w:r>
      <w:r>
        <w:rPr>
          <w:rFonts w:hint="eastAsia"/>
          <w:color w:val="000000" w:themeColor="text1"/>
          <w:u w:color="000000"/>
          <w14:textFill>
            <w14:solidFill>
              <w14:schemeClr w14:val="tx1"/>
            </w14:solidFill>
          </w14:textFill>
        </w:rPr>
        <w:t>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b/>
          <w:bCs/>
          <w:color w:val="000000"/>
          <w:u w:color="000000"/>
          <w:lang w:val="zh-TW"/>
        </w:rPr>
        <w:t>和田地区基层科普行动计划</w:t>
      </w:r>
      <w:r>
        <w:rPr>
          <w:rFonts w:hint="eastAsia"/>
          <w:b/>
          <w:bCs/>
          <w:color w:val="000000"/>
          <w:u w:color="000000"/>
          <w:lang w:val="zh-TW" w:eastAsia="zh-TW"/>
        </w:rPr>
        <w:t>项目</w:t>
      </w:r>
      <w:r>
        <w:rPr>
          <w:rFonts w:hint="eastAsia" w:ascii="仿宋_GB2312" w:hAnsi="仿宋_GB2312" w:cs="仿宋_GB2312"/>
          <w:b/>
          <w:bCs/>
        </w:rPr>
        <w:t>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b/>
                <w:color w:val="000000"/>
                <w:sz w:val="21"/>
                <w:szCs w:val="21"/>
              </w:rPr>
            </w:pPr>
            <w:r>
              <w:rPr>
                <w:rFonts w:hint="eastAsia" w:ascii="仿宋" w:hAnsi="仿宋" w:eastAsia="仿宋" w:cs="仿宋"/>
                <w:b/>
                <w:color w:val="000000"/>
                <w:kern w:val="0"/>
                <w:sz w:val="21"/>
                <w:szCs w:val="21"/>
                <w:lang w:bidi="ar"/>
              </w:rPr>
              <w:t>备注</w:t>
            </w:r>
          </w:p>
        </w:tc>
      </w:tr>
      <w:tr>
        <w:tblPrEx>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效益</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社会效益指标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加强基层科普组织和人才队伍建设</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有效加强</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sz w:val="21"/>
                <w:szCs w:val="21"/>
              </w:rPr>
            </w:pPr>
            <w:r>
              <w:rPr>
                <w:rFonts w:hint="eastAsia" w:ascii="仿宋" w:hAnsi="仿宋" w:eastAsia="仿宋" w:cs="仿宋"/>
                <w:sz w:val="21"/>
                <w:szCs w:val="21"/>
              </w:rPr>
              <w:t>7.5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sz w:val="21"/>
                <w:szCs w:val="21"/>
              </w:rPr>
            </w:pPr>
            <w:r>
              <w:rPr>
                <w:rFonts w:hint="eastAsia" w:ascii="仿宋" w:hAnsi="仿宋" w:eastAsia="仿宋" w:cs="仿宋"/>
                <w:sz w:val="21"/>
                <w:szCs w:val="21"/>
              </w:rPr>
              <w:t>7.13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可持续影响指标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发挥基层科普引领作用</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效果显著</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7.5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6.75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全区科普宣传力度不断加大</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不断加大</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7.5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sz w:val="21"/>
                <w:szCs w:val="21"/>
              </w:rPr>
            </w:pPr>
            <w:r>
              <w:rPr>
                <w:rFonts w:hint="eastAsia" w:ascii="仿宋" w:hAnsi="仿宋" w:eastAsia="仿宋" w:cs="仿宋"/>
                <w:sz w:val="21"/>
                <w:szCs w:val="21"/>
              </w:rPr>
              <w:t>6.75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111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满意度指标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基层科普计划受益人群满意度（%）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仿宋" w:hAnsi="仿宋" w:eastAsia="仿宋" w:cs="仿宋"/>
                <w:color w:val="000000"/>
                <w:sz w:val="21"/>
                <w:szCs w:val="21"/>
              </w:rPr>
            </w:pPr>
            <w:r>
              <w:rPr>
                <w:rFonts w:hint="eastAsia" w:ascii="仿宋" w:hAnsi="仿宋" w:eastAsia="仿宋" w:cs="仿宋"/>
                <w:color w:val="000000"/>
                <w:sz w:val="21"/>
                <w:szCs w:val="21"/>
              </w:rPr>
              <w:t>≥98%</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7.5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6.88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r>
      <w:tr>
        <w:tblPrEx>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27.51</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hAnsi="仿宋" w:eastAsia="仿宋" w:cs="仿宋"/>
                <w:color w:val="000000"/>
                <w:sz w:val="21"/>
                <w:szCs w:val="21"/>
              </w:rPr>
            </w:pPr>
          </w:p>
        </w:tc>
      </w:tr>
    </w:tbl>
    <w:p>
      <w:pPr>
        <w:pStyle w:val="3"/>
        <w:ind w:firstLine="640"/>
      </w:pPr>
      <w:r>
        <w:rPr>
          <w:rFonts w:hint="eastAsia"/>
        </w:rPr>
        <w:t>五、主要经验及做法、存在的问题及原因分析</w:t>
      </w:r>
    </w:p>
    <w:p>
      <w:pPr>
        <w:pStyle w:val="4"/>
        <w:numPr>
          <w:ilvl w:val="0"/>
          <w:numId w:val="8"/>
        </w:numPr>
        <w:ind w:firstLine="643"/>
      </w:pPr>
      <w:bookmarkStart w:id="12" w:name="_Toc28290"/>
      <w:bookmarkStart w:id="13" w:name="_Toc1921"/>
      <w:r>
        <w:rPr>
          <w:rFonts w:hint="eastAsia"/>
        </w:rPr>
        <w:t>主要经验及做法</w:t>
      </w:r>
    </w:p>
    <w:p>
      <w:pPr>
        <w:tabs>
          <w:tab w:val="left" w:pos="1337"/>
        </w:tabs>
        <w:ind w:firstLine="560"/>
      </w:pPr>
      <w:r>
        <w:rPr>
          <w:rFonts w:hint="eastAsia"/>
        </w:rPr>
        <w:t>一是领导重视，充分发动，实施“基层科普行动计划”是贯彻党的十八大精神，落实《全民科学素质行动计划纲要》，提高基层群众科学素质，促进依靠科技转变经济发展方式、助力社会和谐发展的重要举措由科协主席任组长，多次带队到基层实地调研、检查指导，通过召开座谈会，汇报会等形工，了解基地、社区基本情况。</w:t>
      </w:r>
    </w:p>
    <w:p>
      <w:pPr>
        <w:spacing w:line="600" w:lineRule="exact"/>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二是认识组织、规范评审。为切实通过“基层科普行动计划”的实施，达到在全区表彰有突出贡献的基层科普工作先进集体、组织、个人，引导推动基地、社区、发展的目是。</w:t>
      </w:r>
    </w:p>
    <w:p>
      <w:pPr>
        <w:spacing w:line="600" w:lineRule="exact"/>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三是加大宣传力度，使用权“基层科普行动计划”影响不断扩大，利用平强向社会和广大农民群众宣传达室“科普惠农兴村计划”先进事迹和经验做法。</w:t>
      </w:r>
      <w:r>
        <w:rPr>
          <w:rFonts w:hint="eastAsia"/>
          <w:color w:val="000000" w:themeColor="text1"/>
          <w:spacing w:val="-4"/>
          <w:szCs w:val="32"/>
          <w14:textFill>
            <w14:solidFill>
              <w14:schemeClr w14:val="tx1"/>
            </w14:solidFill>
          </w14:textFill>
        </w:rPr>
        <w:tab/>
      </w:r>
    </w:p>
    <w:bookmarkEnd w:id="12"/>
    <w:bookmarkEnd w:id="13"/>
    <w:p>
      <w:pPr>
        <w:pStyle w:val="4"/>
        <w:numPr>
          <w:ilvl w:val="0"/>
          <w:numId w:val="8"/>
        </w:numPr>
        <w:ind w:firstLine="643"/>
      </w:pPr>
      <w:r>
        <w:rPr>
          <w:rFonts w:hint="eastAsia"/>
        </w:rPr>
        <w:t>存在的问题及原因分析</w:t>
      </w:r>
    </w:p>
    <w:p>
      <w:pPr>
        <w:spacing w:line="600" w:lineRule="exact"/>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结合科学技术工作实际，全区科技工作者数量占比效少，科普引领基层工和发挥效果不显著，科普宣传力度有待进一步提升，基层科普计划从数量到质量的转化不明显，科普受益群众满意度不高，达90%。</w:t>
      </w:r>
    </w:p>
    <w:p>
      <w:pPr>
        <w:pStyle w:val="3"/>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六、有关建议</w:t>
      </w:r>
    </w:p>
    <w:p>
      <w:pPr>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基层科普行动计划是提升全民科学素质的重要举措，科普惠农兴村计划基础上的进一步延伸。无论是在资助的范围、数量还是力度方面都持续增加。然而在实施与推广中仍存在宣传不到位、申报资料不齐全、资金使用用平均化以及利用程度低的问题。</w:t>
      </w:r>
    </w:p>
    <w:p>
      <w:pPr>
        <w:pStyle w:val="3"/>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七、其他需要说明的问题</w:t>
      </w:r>
    </w:p>
    <w:p>
      <w:pPr>
        <w:ind w:firstLine="544"/>
        <w:rPr>
          <w:strike/>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 xml:space="preserve"> 无其他说明内容。</w:t>
      </w:r>
    </w:p>
    <w:p>
      <w:pPr>
        <w:ind w:firstLine="560"/>
        <w:rPr>
          <w:color w:val="000000" w:themeColor="text1"/>
          <w14:textFill>
            <w14:solidFill>
              <w14:schemeClr w14:val="tx1"/>
            </w14:solidFill>
          </w14:textFill>
        </w:rPr>
      </w:pP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2E81EF"/>
    <w:multiLevelType w:val="singleLevel"/>
    <w:tmpl w:val="812E81EF"/>
    <w:lvl w:ilvl="0" w:tentative="0">
      <w:start w:val="1"/>
      <w:numFmt w:val="chineseCounting"/>
      <w:suff w:val="nothing"/>
      <w:lvlText w:val="%1、"/>
      <w:lvlJc w:val="left"/>
      <w:rPr>
        <w:rFonts w:hint="eastAsia"/>
      </w:rPr>
    </w:lvl>
  </w:abstractNum>
  <w:abstractNum w:abstractNumId="1">
    <w:nsid w:val="826C92B9"/>
    <w:multiLevelType w:val="singleLevel"/>
    <w:tmpl w:val="826C92B9"/>
    <w:lvl w:ilvl="0" w:tentative="0">
      <w:start w:val="2"/>
      <w:numFmt w:val="chineseCounting"/>
      <w:suff w:val="nothing"/>
      <w:lvlText w:val="（%1）"/>
      <w:lvlJc w:val="left"/>
      <w:rPr>
        <w:rFonts w:hint="eastAsia"/>
      </w:r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D5637710"/>
    <w:multiLevelType w:val="singleLevel"/>
    <w:tmpl w:val="D5637710"/>
    <w:lvl w:ilvl="0" w:tentative="0">
      <w:start w:val="2"/>
      <w:numFmt w:val="decimal"/>
      <w:suff w:val="nothing"/>
      <w:lvlText w:val="（%1）"/>
      <w:lvlJc w:val="left"/>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0"/>
  </w:num>
  <w:num w:numId="3">
    <w:abstractNumId w:val="3"/>
  </w:num>
  <w:num w:numId="4">
    <w:abstractNumId w:val="1"/>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564611"/>
    <w:rsid w:val="0075294E"/>
    <w:rsid w:val="009B5A6C"/>
    <w:rsid w:val="009B5CF5"/>
    <w:rsid w:val="00A6232E"/>
    <w:rsid w:val="00FF65CD"/>
    <w:rsid w:val="0CE57393"/>
    <w:rsid w:val="0FF62C78"/>
    <w:rsid w:val="117F2965"/>
    <w:rsid w:val="12F1313F"/>
    <w:rsid w:val="13EC07DE"/>
    <w:rsid w:val="15E932D2"/>
    <w:rsid w:val="16BE288D"/>
    <w:rsid w:val="19347489"/>
    <w:rsid w:val="1CD73CB6"/>
    <w:rsid w:val="1E86298F"/>
    <w:rsid w:val="20BF7BA8"/>
    <w:rsid w:val="21F34D22"/>
    <w:rsid w:val="245E1E24"/>
    <w:rsid w:val="25A7152B"/>
    <w:rsid w:val="26A560EF"/>
    <w:rsid w:val="27B0274D"/>
    <w:rsid w:val="29BF3688"/>
    <w:rsid w:val="2C103347"/>
    <w:rsid w:val="2E483E7E"/>
    <w:rsid w:val="319F058E"/>
    <w:rsid w:val="332F7DDD"/>
    <w:rsid w:val="335E4ABB"/>
    <w:rsid w:val="33784CD4"/>
    <w:rsid w:val="33944516"/>
    <w:rsid w:val="33D828C4"/>
    <w:rsid w:val="33F57668"/>
    <w:rsid w:val="36185B49"/>
    <w:rsid w:val="36C93D47"/>
    <w:rsid w:val="3B515435"/>
    <w:rsid w:val="3B9B004C"/>
    <w:rsid w:val="3C664E9C"/>
    <w:rsid w:val="3DFF2BF8"/>
    <w:rsid w:val="42FE3854"/>
    <w:rsid w:val="442D3492"/>
    <w:rsid w:val="4F733A2D"/>
    <w:rsid w:val="55E4131B"/>
    <w:rsid w:val="56144CA5"/>
    <w:rsid w:val="56B936D0"/>
    <w:rsid w:val="5723462F"/>
    <w:rsid w:val="5D87634F"/>
    <w:rsid w:val="60937F5E"/>
    <w:rsid w:val="61EA3381"/>
    <w:rsid w:val="61F541AF"/>
    <w:rsid w:val="62507FE5"/>
    <w:rsid w:val="636D1879"/>
    <w:rsid w:val="67F57766"/>
    <w:rsid w:val="68291A1A"/>
    <w:rsid w:val="691B1594"/>
    <w:rsid w:val="6B507B29"/>
    <w:rsid w:val="6F0D6C22"/>
    <w:rsid w:val="74111440"/>
    <w:rsid w:val="76082FB6"/>
    <w:rsid w:val="76D2301A"/>
    <w:rsid w:val="77861774"/>
    <w:rsid w:val="789C4EF8"/>
    <w:rsid w:val="79300B45"/>
    <w:rsid w:val="79A17504"/>
    <w:rsid w:val="7AE8580E"/>
    <w:rsid w:val="7B807BB8"/>
    <w:rsid w:val="7D5F2216"/>
    <w:rsid w:val="7E354538"/>
    <w:rsid w:val="7E617414"/>
    <w:rsid w:val="7FF77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alloon Text"/>
    <w:basedOn w:val="1"/>
    <w:link w:val="16"/>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5"/>
    <w:next w:val="5"/>
    <w:link w:val="18"/>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2"/>
    <w:link w:val="6"/>
    <w:qFormat/>
    <w:uiPriority w:val="0"/>
    <w:rPr>
      <w:rFonts w:eastAsia="仿宋_GB2312"/>
      <w:kern w:val="2"/>
      <w:sz w:val="18"/>
      <w:szCs w:val="18"/>
    </w:rPr>
  </w:style>
  <w:style w:type="character" w:customStyle="1" w:styleId="17">
    <w:name w:val="批注文字 Char"/>
    <w:basedOn w:val="12"/>
    <w:link w:val="5"/>
    <w:qFormat/>
    <w:uiPriority w:val="0"/>
    <w:rPr>
      <w:rFonts w:eastAsia="仿宋_GB2312"/>
      <w:kern w:val="2"/>
      <w:sz w:val="28"/>
      <w:szCs w:val="24"/>
    </w:rPr>
  </w:style>
  <w:style w:type="character" w:customStyle="1" w:styleId="18">
    <w:name w:val="批注主题 Char"/>
    <w:basedOn w:val="17"/>
    <w:link w:val="9"/>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140F0-F029-48B0-ADD3-A52FE178AB68}">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22</Pages>
  <Words>1701</Words>
  <Characters>9697</Characters>
  <Lines>80</Lines>
  <Paragraphs>22</Paragraphs>
  <TotalTime>1105</TotalTime>
  <ScaleCrop>false</ScaleCrop>
  <LinksUpToDate>false</LinksUpToDate>
  <CharactersWithSpaces>11376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F-pc</cp:lastModifiedBy>
  <cp:lastPrinted>2020-05-15T03:15:00Z</cp:lastPrinted>
  <dcterms:modified xsi:type="dcterms:W3CDTF">2020-10-28T10:53:21Z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