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旅游产业发展资金项目支出</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项目名称：旅游产业发展资金项目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实施单位：和田地区文化体育广播电视和旅游局</w:t>
      </w:r>
    </w:p>
    <w:p>
      <w:pPr>
        <w:spacing w:line="360" w:lineRule="auto"/>
        <w:ind w:firstLine="2108" w:firstLineChars="700"/>
        <w:rPr>
          <w:rFonts w:ascii="黑体" w:eastAsia="黑体"/>
          <w:b/>
          <w:color w:val="000000"/>
          <w:sz w:val="30"/>
          <w:szCs w:val="30"/>
        </w:rPr>
      </w:pPr>
      <w:r>
        <w:rPr>
          <w:rFonts w:hint="eastAsia" w:ascii="黑体" w:eastAsia="黑体"/>
          <w:b/>
          <w:color w:val="000000"/>
          <w:sz w:val="30"/>
          <w:szCs w:val="30"/>
        </w:rPr>
        <w:t>（和田地区文物局）</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主管部门：和田地委宣传部</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旅游产业发展资金项目支出绩效评价报告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pPr>
      <w:r>
        <w:rPr>
          <w:rFonts w:hint="eastAsia"/>
        </w:rPr>
        <w:t>根据自治区党委“1+3+3+改革开放”和2019年地委（扩大）会议、西区经济工作会议关于“大力发展旅游业”工作部署安排，通过持续开展和田旅游宣传推介，旅游景区标识牌建设、A级景区创建、A级景区农家乐创建、旅游厕所建设、旅游专列补助、引客入和、旅游培训等，进一步提升和田“世界玉都·丝路名城”的知名度和美誉度，提升和田“中国特种旅游目的地”核心旅游品牌影响力，通过吸引游客来和旅游观光，带动经济增长，助力脱贫攻坚。</w:t>
      </w:r>
    </w:p>
    <w:p>
      <w:pPr>
        <w:pStyle w:val="2"/>
        <w:ind w:firstLine="562"/>
      </w:pPr>
      <w:r>
        <w:rPr>
          <w:rFonts w:hint="eastAsia"/>
        </w:rPr>
        <w:t>2.项目实施主体</w:t>
      </w:r>
    </w:p>
    <w:p>
      <w:pPr>
        <w:widowControl/>
        <w:ind w:firstLine="560"/>
        <w:jc w:val="left"/>
        <w:rPr>
          <w:kern w:val="0"/>
          <w:szCs w:val="28"/>
        </w:rPr>
      </w:pPr>
      <w:r>
        <w:rPr>
          <w:rFonts w:hint="eastAsia"/>
          <w:kern w:val="0"/>
          <w:szCs w:val="28"/>
        </w:rPr>
        <w:t>加强党对文化和旅游工作的领导。贯彻落实党和国家文化和旅游工作的方针政策，发展中国特色社会主义文化，拟订文化和旅游措施，统筹文化和旅游事业、产业振兴发展，拟订地区文化和旅游发展规划并组织实施，推进文化和旅游创新融合绿色发展，实施“文化和旅游+”。落实文化和旅游体制机制改革</w:t>
      </w:r>
    </w:p>
    <w:p>
      <w:pPr>
        <w:widowControl/>
        <w:ind w:firstLine="560"/>
        <w:jc w:val="left"/>
        <w:rPr>
          <w:kern w:val="0"/>
          <w:szCs w:val="28"/>
        </w:rPr>
      </w:pPr>
      <w:r>
        <w:rPr>
          <w:rFonts w:hint="eastAsia"/>
          <w:kern w:val="0"/>
          <w:szCs w:val="28"/>
        </w:rPr>
        <w:t>管理地区重大文化和旅游活动，指导地区重点文化和旅游设施建设，组织文化和旅游整体形象推广，构建全媒体时代的宣传营销平台和机制；促进文化和旅游产业对外合作和市场推广，拟订旅游市场开发战略并组织实施。统筹文化和旅游景区管理，指导、推进全域旅游。</w:t>
      </w:r>
    </w:p>
    <w:p>
      <w:pPr>
        <w:pStyle w:val="2"/>
        <w:ind w:firstLine="562"/>
      </w:pPr>
      <w:r>
        <w:rPr>
          <w:rFonts w:hint="eastAsia"/>
        </w:rPr>
        <w:t>3.项目组织结构</w:t>
      </w:r>
    </w:p>
    <w:p>
      <w:pPr>
        <w:ind w:firstLine="560"/>
        <w:rPr>
          <w:rFonts w:hint="eastAsia" w:eastAsia="仿宋_GB2312"/>
          <w:lang w:val="en-US" w:eastAsia="zh-CN"/>
        </w:rPr>
      </w:pPr>
      <w:r>
        <w:rPr>
          <w:rFonts w:hint="eastAsia"/>
        </w:rPr>
        <w:t>为确保我单位该项目的顺利实施，我单位成立项目实施小组</w:t>
      </w:r>
      <w:r>
        <w:rPr>
          <w:rFonts w:hint="eastAsia"/>
          <w:lang w:eastAsia="zh-CN"/>
        </w:rPr>
        <w:t>。</w:t>
      </w:r>
      <w:r>
        <w:rPr>
          <w:rFonts w:hint="eastAsia"/>
          <w:lang w:val="en-US" w:eastAsia="zh-CN"/>
        </w:rPr>
        <w:t>.</w:t>
      </w:r>
    </w:p>
    <w:p>
      <w:pPr>
        <w:pStyle w:val="2"/>
        <w:numPr>
          <w:ilvl w:val="0"/>
          <w:numId w:val="2"/>
        </w:numPr>
        <w:ind w:firstLine="562"/>
      </w:pPr>
      <w:r>
        <w:rPr>
          <w:rFonts w:hint="eastAsia"/>
        </w:rPr>
        <w:t>主要内容及实施情况</w:t>
      </w:r>
    </w:p>
    <w:p>
      <w:pPr>
        <w:pStyle w:val="19"/>
        <w:ind w:firstLine="560"/>
      </w:pPr>
      <w:r>
        <w:rPr>
          <w:rFonts w:hint="eastAsia"/>
        </w:rPr>
        <w:t>根据自治区党委“1+3+3+改革开放”和2019年地委（扩大）会议、西区经济工作会议关于“大力发展旅游业”工作部署安排，2019年通过持续开展旅游宣传推介，进一步提升和田“世界玉都·丝路名城”的知名度和美誉度，通过吸引游客来和旅游观光，促进旅游消费，助力和田脱贫攻坚。以提升和田“中国特种旅游”和“民俗风情旅游目的地”为主，制作宣传图册及举办驾游房车，制作宣传片，开展丰富多彩的文化旅游宣传推广活动。</w:t>
      </w:r>
    </w:p>
    <w:p>
      <w:pPr>
        <w:pStyle w:val="2"/>
        <w:ind w:firstLine="562"/>
      </w:pPr>
      <w:r>
        <w:rPr>
          <w:rFonts w:hint="eastAsia"/>
        </w:rPr>
        <w:t>5.资金投入和使用情况</w:t>
      </w:r>
    </w:p>
    <w:p>
      <w:pPr>
        <w:ind w:firstLine="560"/>
      </w:pPr>
      <w:r>
        <w:rPr>
          <w:rFonts w:hint="eastAsia"/>
        </w:rPr>
        <w:t>（1）项目资金安排落实、总投入等情况分析</w:t>
      </w:r>
    </w:p>
    <w:p>
      <w:pPr>
        <w:ind w:firstLine="560"/>
      </w:pPr>
      <w:r>
        <w:rPr>
          <w:rFonts w:hint="eastAsia"/>
        </w:rPr>
        <w:t>旅游产业发展资金</w:t>
      </w:r>
      <w:r>
        <w:t>项目预算安排总额为</w:t>
      </w:r>
      <w:r>
        <w:rPr>
          <w:rFonts w:hint="eastAsia"/>
        </w:rPr>
        <w:t>500</w:t>
      </w:r>
      <w:r>
        <w:t>万元，其中财政资金</w:t>
      </w:r>
      <w:r>
        <w:rPr>
          <w:rFonts w:hint="eastAsia"/>
        </w:rPr>
        <w:t>500</w:t>
      </w:r>
      <w:r>
        <w:t>万元，其他资金</w:t>
      </w:r>
      <w:r>
        <w:rPr>
          <w:rFonts w:hint="eastAsia"/>
        </w:rPr>
        <w:t>0</w:t>
      </w:r>
      <w:r>
        <w:t>万元，2019年实际收到预算资金</w:t>
      </w:r>
      <w:r>
        <w:rPr>
          <w:rFonts w:hint="eastAsia"/>
        </w:rPr>
        <w:t>500</w:t>
      </w:r>
      <w:r>
        <w:t>万元，预算资金到位率为</w:t>
      </w:r>
      <w:r>
        <w:rPr>
          <w:rFonts w:hint="eastAsia"/>
        </w:rPr>
        <w:t>100</w:t>
      </w:r>
      <w:r>
        <w:t>%。</w:t>
      </w:r>
    </w:p>
    <w:p>
      <w:pPr>
        <w:numPr>
          <w:ilvl w:val="0"/>
          <w:numId w:val="3"/>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本项目实际支付资金421.2万元，预算执行率84.24</w:t>
      </w:r>
      <w:r>
        <w:t>%</w:t>
      </w:r>
      <w:r>
        <w:rPr>
          <w:rFonts w:hint="eastAsia"/>
        </w:rPr>
        <w:t>，</w:t>
      </w:r>
      <w:r>
        <w:rPr>
          <w:rFonts w:hint="eastAsia"/>
          <w:szCs w:val="28"/>
        </w:rPr>
        <w:t>剩余78.8万元进藏第九线50万元、旅游民宿补助25.04万元、旅游宣传推广3.76万元。50万元项目在2020年开展，款项尚未支付；旅游民宿补助25.04万元，因财务人员疏忽，造成退票，此款于2020年3月支付。</w:t>
      </w:r>
      <w:r>
        <w:rPr>
          <w:rFonts w:hint="eastAsia"/>
        </w:rPr>
        <w:t>项目资金主要用于支付旅游宣传推介活动357.24万元、民宿奖补资金18.96万元、勘现活动费用45万元。</w:t>
      </w:r>
    </w:p>
    <w:p>
      <w:pPr>
        <w:pStyle w:val="4"/>
        <w:numPr>
          <w:ilvl w:val="0"/>
          <w:numId w:val="4"/>
        </w:numPr>
        <w:ind w:firstLine="643"/>
      </w:pPr>
      <w:r>
        <w:rPr>
          <w:rFonts w:hint="eastAsia"/>
        </w:rPr>
        <w:t>项目绩效目标</w:t>
      </w:r>
    </w:p>
    <w:p>
      <w:pPr>
        <w:pStyle w:val="2"/>
        <w:ind w:firstLine="562"/>
      </w:pPr>
      <w:r>
        <w:rPr>
          <w:rFonts w:hint="eastAsia"/>
        </w:rPr>
        <w:t>1.总体目标</w:t>
      </w:r>
    </w:p>
    <w:p>
      <w:pPr>
        <w:ind w:firstLine="560"/>
        <w:rPr>
          <w:b/>
        </w:rPr>
      </w:pPr>
      <w:r>
        <w:rPr>
          <w:rFonts w:hint="eastAsia"/>
        </w:rPr>
        <w:t>预计通过持续开展旅游宣传推介，进一步提升和田“世界玉都·丝路名城”的知名度和美誉度，通过吸引游客来和旅游观光，促进旅游消费，助力和田脱贫攻坚。开展丰富多彩的文化旅游宣传推广活动，提高文化旅游宣传推广工作质量，增强和田旅游的知名度和美誉度，游客满意度90%。</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相关文件</w:t>
      </w:r>
      <w:r>
        <w:rPr>
          <w:rFonts w:hint="eastAsia" w:hAnsi="Arial" w:cs="宋体"/>
          <w:bCs/>
          <w:color w:val="000000"/>
        </w:rPr>
        <w:t>规定，结合项目实施单位的规章制度以及财务相关资料，评价小组对项目绩效目标进行了进一步的完善，完善后绩效目标如下：</w:t>
      </w:r>
    </w:p>
    <w:p>
      <w:pPr>
        <w:numPr>
          <w:ilvl w:val="0"/>
          <w:numId w:val="5"/>
        </w:numPr>
        <w:ind w:firstLine="560"/>
      </w:pPr>
      <w:r>
        <w:rPr>
          <w:rFonts w:hint="eastAsia"/>
        </w:rPr>
        <w:t>项目产出目标</w:t>
      </w:r>
    </w:p>
    <w:p>
      <w:pPr>
        <w:ind w:firstLine="560"/>
      </w:pPr>
      <w:r>
        <w:rPr>
          <w:rFonts w:hint="eastAsia"/>
        </w:rPr>
        <w:t>①数量指标</w:t>
      </w:r>
    </w:p>
    <w:p>
      <w:pPr>
        <w:ind w:firstLine="560"/>
      </w:pPr>
      <w:r>
        <w:rPr>
          <w:rFonts w:hint="eastAsia"/>
        </w:rPr>
        <w:t>“实现接待国内外游客人数(万人)”指标，预期指标值为≥306；</w:t>
      </w:r>
    </w:p>
    <w:p>
      <w:pPr>
        <w:ind w:firstLine="560"/>
      </w:pPr>
      <w:r>
        <w:rPr>
          <w:rFonts w:hint="eastAsia"/>
        </w:rPr>
        <w:t>“宣传图册（册）”指标，预期指标值为≥2800；</w:t>
      </w:r>
    </w:p>
    <w:p>
      <w:pPr>
        <w:ind w:firstLine="560"/>
      </w:pPr>
      <w:r>
        <w:rPr>
          <w:rFonts w:hint="eastAsia"/>
        </w:rPr>
        <w:t>“自驾游房车（辆）”指标，预期指标值为≥40；</w:t>
      </w:r>
    </w:p>
    <w:p>
      <w:pPr>
        <w:ind w:firstLine="560"/>
      </w:pPr>
      <w:r>
        <w:rPr>
          <w:rFonts w:hint="eastAsia"/>
        </w:rPr>
        <w:t>“开展文化旅游宣传推介（场次）”指标，预期指标值为≥10；</w:t>
      </w:r>
    </w:p>
    <w:p>
      <w:pPr>
        <w:ind w:firstLine="560"/>
      </w:pPr>
      <w:r>
        <w:rPr>
          <w:rFonts w:hint="eastAsia"/>
        </w:rPr>
        <w:t>“开展文化旅游活动（场次）”指标，预期指标值为≥60；</w:t>
      </w:r>
    </w:p>
    <w:p>
      <w:pPr>
        <w:ind w:firstLine="560"/>
      </w:pPr>
      <w:r>
        <w:rPr>
          <w:rFonts w:hint="eastAsia"/>
        </w:rPr>
        <w:t>“旅游宣传点击阅读量（亿人次）”指标，预期指标值为≥4；</w:t>
      </w:r>
    </w:p>
    <w:p>
      <w:pPr>
        <w:ind w:firstLine="560"/>
      </w:pPr>
      <w:r>
        <w:rPr>
          <w:rFonts w:hint="eastAsia"/>
        </w:rPr>
        <w:t>“制作宣传片（部）”指标，预期指标值为≥1；</w:t>
      </w:r>
    </w:p>
    <w:p>
      <w:pPr>
        <w:ind w:firstLine="560"/>
      </w:pPr>
      <w:r>
        <w:rPr>
          <w:rFonts w:hint="eastAsia"/>
        </w:rPr>
        <w:t>“民宿奖补床位（床）”指标，预期指标值为≥864；</w:t>
      </w:r>
    </w:p>
    <w:p>
      <w:pPr>
        <w:ind w:firstLine="560"/>
      </w:pPr>
      <w:r>
        <w:rPr>
          <w:rFonts w:hint="eastAsia"/>
        </w:rPr>
        <w:t>“民宿设立奖励标准（种）”指标，预期指标值为≥3；</w:t>
      </w:r>
    </w:p>
    <w:p>
      <w:pPr>
        <w:ind w:firstLine="560"/>
      </w:pPr>
      <w:r>
        <w:rPr>
          <w:rFonts w:hint="eastAsia"/>
        </w:rPr>
        <w:t>②质量指标</w:t>
      </w:r>
    </w:p>
    <w:p>
      <w:pPr>
        <w:ind w:firstLine="560"/>
      </w:pPr>
      <w:r>
        <w:rPr>
          <w:rFonts w:hint="eastAsia"/>
        </w:rPr>
        <w:t>“活动举办成功率（%）”指标，预期指标值为≥98%；</w:t>
      </w:r>
    </w:p>
    <w:p>
      <w:pPr>
        <w:ind w:firstLine="560"/>
      </w:pPr>
      <w:r>
        <w:rPr>
          <w:rFonts w:hint="eastAsia"/>
        </w:rPr>
        <w:t>“合同违规率（%）”指标，预期指标值为0%；</w:t>
      </w:r>
    </w:p>
    <w:p>
      <w:pPr>
        <w:ind w:firstLine="560"/>
      </w:pPr>
      <w:r>
        <w:rPr>
          <w:rFonts w:hint="eastAsia"/>
        </w:rPr>
        <w:t>“资金使用合规率（%）”指标，预期指标值为≥98%；</w:t>
      </w:r>
    </w:p>
    <w:p>
      <w:pPr>
        <w:ind w:firstLine="560"/>
      </w:pPr>
      <w:r>
        <w:rPr>
          <w:rFonts w:hint="eastAsia"/>
        </w:rPr>
        <w:t>“</w:t>
      </w:r>
      <w:r>
        <w:t>宣传片制作质量合格率（%）</w:t>
      </w:r>
      <w:r>
        <w:rPr>
          <w:rFonts w:hint="eastAsia"/>
        </w:rPr>
        <w:t>”指标，预期指标值为≥98%。</w:t>
      </w:r>
    </w:p>
    <w:p>
      <w:pPr>
        <w:ind w:firstLine="560"/>
      </w:pPr>
      <w:r>
        <w:rPr>
          <w:rFonts w:hint="eastAsia"/>
        </w:rPr>
        <w:t>③时效指标</w:t>
      </w:r>
    </w:p>
    <w:p>
      <w:pPr>
        <w:ind w:firstLine="560"/>
      </w:pPr>
      <w:r>
        <w:rPr>
          <w:rFonts w:hint="eastAsia"/>
        </w:rPr>
        <w:t>“资金支付及时率（%）”指标，预期指标值为≥98%；</w:t>
      </w:r>
    </w:p>
    <w:p>
      <w:pPr>
        <w:ind w:firstLine="560"/>
      </w:pPr>
      <w:r>
        <w:rPr>
          <w:rFonts w:hint="eastAsia"/>
        </w:rPr>
        <w:t>“活动完成及时率（%）”指标，预期指标值为≥95%；</w:t>
      </w:r>
    </w:p>
    <w:p>
      <w:pPr>
        <w:ind w:firstLine="560"/>
      </w:pPr>
      <w:r>
        <w:rPr>
          <w:rFonts w:hint="eastAsia"/>
        </w:rPr>
        <w:t>“项目完成时间”指标，预期指标值为2019年12月31日前；</w:t>
      </w:r>
    </w:p>
    <w:p>
      <w:pPr>
        <w:ind w:firstLine="560"/>
      </w:pPr>
      <w:r>
        <w:rPr>
          <w:rFonts w:hint="eastAsia"/>
        </w:rPr>
        <w:t>④成本指标</w:t>
      </w:r>
    </w:p>
    <w:p>
      <w:pPr>
        <w:ind w:firstLine="560"/>
      </w:pPr>
      <w:r>
        <w:rPr>
          <w:rFonts w:hint="eastAsia"/>
        </w:rPr>
        <w:t>“旅游宣传推介活动（万元）”指标，预期指标值为≤361；</w:t>
      </w:r>
    </w:p>
    <w:p>
      <w:pPr>
        <w:ind w:firstLine="560"/>
      </w:pPr>
      <w:r>
        <w:rPr>
          <w:rFonts w:hint="eastAsia"/>
        </w:rPr>
        <w:t>“民宿奖补资金（万元）”指标，预期指标值为≤44；</w:t>
      </w:r>
    </w:p>
    <w:p>
      <w:pPr>
        <w:ind w:firstLine="560"/>
      </w:pPr>
      <w:r>
        <w:rPr>
          <w:rFonts w:hint="eastAsia"/>
        </w:rPr>
        <w:t>““进藏第九线”勘现活动费用（万元）”指标，预期指标值为≤95；</w:t>
      </w:r>
    </w:p>
    <w:p>
      <w:pPr>
        <w:ind w:firstLine="560"/>
      </w:pPr>
      <w:r>
        <w:rPr>
          <w:rFonts w:hint="eastAsia"/>
        </w:rPr>
        <w:t>①经济效益指标</w:t>
      </w:r>
    </w:p>
    <w:p>
      <w:pPr>
        <w:ind w:firstLine="560"/>
      </w:pPr>
      <w:r>
        <w:rPr>
          <w:rFonts w:hint="eastAsia"/>
        </w:rPr>
        <w:t>“完成旅游收入（亿元）”指标，预期指标值为≥38.5。</w:t>
      </w:r>
    </w:p>
    <w:p>
      <w:pPr>
        <w:ind w:firstLine="560"/>
      </w:pPr>
      <w:r>
        <w:rPr>
          <w:rFonts w:hint="eastAsia"/>
        </w:rPr>
        <w:t>②社会效益指标</w:t>
      </w:r>
    </w:p>
    <w:p>
      <w:pPr>
        <w:ind w:firstLine="560"/>
      </w:pPr>
      <w:r>
        <w:rPr>
          <w:rFonts w:hint="eastAsia"/>
        </w:rPr>
        <w:t>“提升和田的知名度和美誉度”指标，预期指标值为有效提升；</w:t>
      </w:r>
    </w:p>
    <w:p>
      <w:pPr>
        <w:ind w:firstLine="560"/>
      </w:pPr>
      <w:r>
        <w:rPr>
          <w:rFonts w:hint="eastAsia"/>
        </w:rPr>
        <w:t>“带动就业人数（万人）”指标，预期指标值为≥2.9；</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“旅游发展带动经济持续增涨”指标，预期指标值为持续增涨。</w:t>
      </w:r>
    </w:p>
    <w:p>
      <w:pPr>
        <w:ind w:firstLine="560"/>
      </w:pPr>
      <w:r>
        <w:rPr>
          <w:rFonts w:hint="eastAsia"/>
        </w:rPr>
        <w:t>（3）相关满意度目标</w:t>
      </w:r>
    </w:p>
    <w:p>
      <w:pPr>
        <w:ind w:firstLine="560"/>
      </w:pPr>
      <w:r>
        <w:rPr>
          <w:rFonts w:hint="eastAsia"/>
        </w:rPr>
        <w:t>①满意度指标</w:t>
      </w:r>
    </w:p>
    <w:p>
      <w:pPr>
        <w:ind w:firstLine="560"/>
      </w:pPr>
      <w:r>
        <w:rPr>
          <w:rFonts w:hint="eastAsia"/>
        </w:rPr>
        <w:t>“游客满意度（%）”指标，预期指标值为≥90%。</w:t>
      </w:r>
    </w:p>
    <w:p>
      <w:pPr>
        <w:pStyle w:val="3"/>
        <w:ind w:firstLine="640"/>
      </w:pPr>
      <w:r>
        <w:rPr>
          <w:rFonts w:hint="eastAsia"/>
        </w:rPr>
        <w:t>二、绩效评价工作开展情况</w:t>
      </w:r>
    </w:p>
    <w:p>
      <w:pPr>
        <w:pStyle w:val="4"/>
        <w:numPr>
          <w:ilvl w:val="0"/>
          <w:numId w:val="6"/>
        </w:numPr>
        <w:ind w:firstLine="643"/>
        <w:rPr>
          <w:rFonts w:ascii="楷体" w:hAnsi="楷体" w:cs="楷体"/>
          <w:szCs w:val="32"/>
        </w:rPr>
      </w:pPr>
      <w:bookmarkStart w:id="0" w:name="_Toc22922"/>
      <w:bookmarkStart w:id="1" w:name="_Toc21664"/>
      <w:bookmarkStart w:id="2" w:name="_Toc5258"/>
      <w:bookmarkStart w:id="3" w:name="_Toc26632"/>
      <w:bookmarkStart w:id="4" w:name="_Toc12868"/>
      <w:bookmarkStart w:id="5" w:name="_Toc22169_WPSOffice_Level2"/>
      <w:bookmarkStart w:id="6" w:name="_Toc5462343"/>
      <w:bookmarkStart w:id="7" w:name="_Toc480473081"/>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此次我单位根据《财政支出绩效评价管理暂行办法》（财预〔2020〕10号）文件要求对2019年度我单位实施的旅游产业发展资金项目开展部门绩效评价，本次绩效评价主要围绕项目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6"/>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相关文件</w:t>
      </w:r>
      <w:r>
        <w:rPr>
          <w:rFonts w:hint="eastAsia"/>
        </w:rPr>
        <w:t>要求，本次绩效评价秉承科学规范、公正公开、分级分类、绩效相关等原则，按照从投入、过程到产出效果和影响的绩效逻辑路径，结合旅游产业发展资金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26131"/>
      <w:bookmarkStart w:id="9" w:name="_Toc428278230"/>
      <w:bookmarkStart w:id="10" w:name="_Toc419984722"/>
      <w:bookmarkStart w:id="11" w:name="_Toc1913"/>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本次绩效评价采用的标准计划标准对绩效指标完成情况进行对比。</w:t>
      </w:r>
    </w:p>
    <w:p>
      <w:pPr>
        <w:pStyle w:val="4"/>
        <w:numPr>
          <w:ilvl w:val="0"/>
          <w:numId w:val="6"/>
        </w:numPr>
        <w:ind w:firstLine="643"/>
      </w:pPr>
      <w:r>
        <w:rPr>
          <w:rFonts w:hint="eastAsia"/>
        </w:rPr>
        <w:t>绩效评价工作过程</w:t>
      </w:r>
    </w:p>
    <w:p>
      <w:pPr>
        <w:ind w:firstLine="560"/>
      </w:pPr>
      <w:r>
        <w:rPr>
          <w:rFonts w:hint="eastAsia"/>
        </w:rPr>
        <w:t>本次评价成立了评价工作组，本次评价设计了评价方案、评价指标体系，通过资料分析、调研、访谈满意度调查等方式形成评价结论，确定评价意见，并出具评价报告。</w:t>
      </w:r>
    </w:p>
    <w:p>
      <w:pPr>
        <w:pStyle w:val="3"/>
        <w:numPr>
          <w:ilvl w:val="0"/>
          <w:numId w:val="7"/>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旅游产业发展资金项目</w:t>
      </w:r>
      <w:r>
        <w:rPr>
          <w:rFonts w:hint="eastAsia"/>
          <w:lang w:val="zh-TW" w:eastAsia="zh-TW"/>
        </w:rPr>
        <w:t>绩效进行客观评价，最终评</w:t>
      </w:r>
      <w:r>
        <w:rPr>
          <w:rFonts w:hint="eastAsia"/>
        </w:rPr>
        <w:t>分结果：总分为93.88分，绩效评级为“优”。各部分权重和绩效汇总分</w:t>
      </w:r>
      <w:r>
        <w:rPr>
          <w:rFonts w:hint="eastAsia"/>
          <w:lang w:val="zh-TW" w:eastAsia="zh-TW"/>
        </w:rPr>
        <w:t>值如下表所示：</w:t>
      </w:r>
    </w:p>
    <w:tbl>
      <w:tblPr>
        <w:tblStyle w:val="12"/>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表3-1：旅游产业发展资金项目得分表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18.37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27.81</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29.7</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93.88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91.85%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92.71%</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99.0%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93.88%</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项目决策由3个二级指标和6个三级指标构成，权重分20分，实际得分18分，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2"/>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w:t>
            </w:r>
          </w:p>
        </w:tc>
      </w:tr>
    </w:tbl>
    <w:p>
      <w:pPr>
        <w:pStyle w:val="4"/>
        <w:ind w:firstLine="643"/>
      </w:pPr>
      <w:r>
        <w:rPr>
          <w:rFonts w:hint="eastAsia"/>
        </w:rPr>
        <w:t>（二）项目过程情况</w:t>
      </w:r>
    </w:p>
    <w:p>
      <w:pPr>
        <w:pStyle w:val="4"/>
        <w:numPr>
          <w:ilvl w:val="0"/>
          <w:numId w:val="6"/>
        </w:numPr>
        <w:ind w:firstLine="643"/>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18.37</w:t>
      </w:r>
      <w:r>
        <w:rPr>
          <w:rFonts w:hint="eastAsia"/>
          <w:color w:val="000000"/>
          <w:u w:color="000000"/>
          <w:lang w:val="zh-TW" w:eastAsia="zh-TW"/>
        </w:rPr>
        <w:t>分</w:t>
      </w:r>
      <w:r>
        <w:rPr>
          <w:rFonts w:hint="eastAsia"/>
          <w:color w:val="000000"/>
          <w:u w:color="000000"/>
          <w:lang w:val="zh-TW" w:eastAsia="zh-CN"/>
        </w:rPr>
        <w:t>。</w:t>
      </w:r>
    </w:p>
    <w:p>
      <w:pPr>
        <w:pStyle w:val="4"/>
        <w:numPr>
          <w:ilvl w:val="0"/>
          <w:numId w:val="6"/>
        </w:numPr>
        <w:ind w:firstLine="643"/>
      </w:pPr>
      <w:r>
        <w:rPr>
          <w:rFonts w:hint="eastAsia"/>
        </w:rPr>
        <w:t>项目效益情况</w:t>
      </w:r>
    </w:p>
    <w:p>
      <w:pPr>
        <w:ind w:firstLine="560"/>
        <w:rPr>
          <w:u w:color="000000"/>
          <w:lang w:val="zh-TW" w:eastAsia="zh-TW"/>
        </w:rPr>
      </w:pPr>
      <w:r>
        <w:rPr>
          <w:rFonts w:hint="eastAsia"/>
          <w:u w:color="000000"/>
          <w:lang w:val="zh-TW" w:eastAsia="zh-TW"/>
        </w:rPr>
        <w:t>项目</w:t>
      </w:r>
      <w:r>
        <w:rPr>
          <w:rFonts w:hint="eastAsia" w:ascii="仿宋_GB2312"/>
        </w:rPr>
        <w:t>产出</w:t>
      </w:r>
      <w:r>
        <w:rPr>
          <w:rFonts w:hint="eastAsia"/>
          <w:u w:color="000000"/>
          <w:lang w:val="zh-TW" w:eastAsia="zh-TW"/>
        </w:rPr>
        <w:t>类指标由</w:t>
      </w:r>
      <w:r>
        <w:rPr>
          <w:rFonts w:hint="eastAsia"/>
          <w:u w:color="000000"/>
        </w:rPr>
        <w:t>5</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29.7</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w:t>
      </w:r>
      <w:r>
        <w:rPr>
          <w:u w:color="000000"/>
        </w:rPr>
        <w:t>-</w:t>
      </w:r>
      <w:r>
        <w:rPr>
          <w:rFonts w:hint="eastAsia"/>
          <w:u w:color="000000"/>
        </w:rPr>
        <w:t>3</w:t>
      </w:r>
      <w:r>
        <w:rPr>
          <w:rFonts w:hint="eastAsia"/>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2"/>
        <w:tblW w:w="9137" w:type="dxa"/>
        <w:tblInd w:w="0" w:type="dxa"/>
        <w:tblLayout w:type="fixed"/>
        <w:tblCellMar>
          <w:top w:w="0" w:type="dxa"/>
          <w:left w:w="0" w:type="dxa"/>
          <w:bottom w:w="0" w:type="dxa"/>
          <w:right w:w="0" w:type="dxa"/>
        </w:tblCellMar>
      </w:tblPr>
      <w:tblGrid>
        <w:gridCol w:w="838"/>
        <w:gridCol w:w="1116"/>
        <w:gridCol w:w="2898"/>
        <w:gridCol w:w="1367"/>
        <w:gridCol w:w="519"/>
        <w:gridCol w:w="1133"/>
        <w:gridCol w:w="566"/>
        <w:gridCol w:w="700"/>
      </w:tblGrid>
      <w:tr>
        <w:tblPrEx>
          <w:tblLayout w:type="fixed"/>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28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Layout w:type="fixed"/>
          <w:tblCellMar>
            <w:top w:w="0" w:type="dxa"/>
            <w:left w:w="0" w:type="dxa"/>
            <w:bottom w:w="0" w:type="dxa"/>
            <w:right w:w="0" w:type="dxa"/>
          </w:tblCellMar>
        </w:tblPrEx>
        <w:trPr>
          <w:trHeight w:val="23" w:hRule="atLeast"/>
        </w:trPr>
        <w:tc>
          <w:tcPr>
            <w:tcW w:w="83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效益</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经济效益指标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完成旅游收入（亿元）</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≥38.5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65.42</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社会效益指标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提升和田的知名度和美誉度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有效提升</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98%</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5.88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带动就业人数（万人）</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≥2.9</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3.1</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生态效益指标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rPr>
                <w:rFonts w:asciiTheme="minorEastAsia" w:hAnsiTheme="minorEastAsia" w:eastAsiaTheme="minorEastAsia" w:cstheme="minorEastAsia"/>
                <w:color w:val="000000"/>
                <w:kern w:val="0"/>
                <w:sz w:val="24"/>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可持续影响指标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旅游发展带动经济持续增涨</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持续增涨</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97%</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5.82</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满意度指标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游客满意度（%）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92%</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62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29.7</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r>
    </w:tbl>
    <w:p>
      <w:pPr>
        <w:pStyle w:val="3"/>
        <w:ind w:firstLine="640"/>
      </w:pPr>
      <w:r>
        <w:rPr>
          <w:rFonts w:hint="eastAsia"/>
        </w:rPr>
        <w:t>五、主要经验及做法</w:t>
      </w:r>
    </w:p>
    <w:p>
      <w:pPr>
        <w:pStyle w:val="4"/>
        <w:numPr>
          <w:numId w:val="0"/>
        </w:numPr>
        <w:ind w:firstLine="643" w:firstLineChars="200"/>
      </w:pPr>
      <w:bookmarkStart w:id="12" w:name="_Toc1921"/>
      <w:bookmarkStart w:id="13" w:name="_Toc28290"/>
      <w:r>
        <w:rPr>
          <w:rFonts w:hint="eastAsia"/>
        </w:rPr>
        <w:t>主要经验及做法</w:t>
      </w:r>
    </w:p>
    <w:p>
      <w:pPr>
        <w:tabs>
          <w:tab w:val="left" w:pos="1337"/>
        </w:tabs>
        <w:ind w:firstLine="560"/>
      </w:pPr>
      <w:r>
        <w:rPr>
          <w:rFonts w:hint="eastAsia"/>
        </w:rPr>
        <w:t>此项资金用于旅游产业发展资金，支付这项资金当中，按照严格执行财务管理规定，切实做到账目清楚，票据规范，确保旅游产业发展资金专款专用。</w:t>
      </w:r>
      <w:r>
        <w:rPr>
          <w:rFonts w:hint="eastAsia"/>
        </w:rPr>
        <w:tab/>
      </w:r>
    </w:p>
    <w:bookmarkEnd w:id="12"/>
    <w:bookmarkEnd w:id="13"/>
    <w:p>
      <w:pPr>
        <w:pStyle w:val="3"/>
        <w:ind w:firstLine="640"/>
      </w:pPr>
      <w:r>
        <w:rPr>
          <w:rFonts w:hint="eastAsia"/>
        </w:rPr>
        <w:t>六、有关建议</w:t>
      </w:r>
    </w:p>
    <w:p>
      <w:pPr>
        <w:ind w:firstLine="544"/>
        <w:rPr>
          <w:color w:val="FF0000"/>
          <w:spacing w:val="-4"/>
          <w:szCs w:val="32"/>
        </w:rPr>
      </w:pPr>
      <w:r>
        <w:rPr>
          <w:rFonts w:hint="eastAsia"/>
          <w:spacing w:val="-4"/>
          <w:szCs w:val="32"/>
        </w:rPr>
        <w:t>以后做好项目资金的管理，严格按照各项目预算的绩效目标，开支额度、开支范围、开支时间等上报列支，一般不得进行超范围超预算超绩效考核内容的项目经费支出，保障项目资金的合理使用性。</w:t>
      </w:r>
    </w:p>
    <w:p>
      <w:pPr>
        <w:pStyle w:val="3"/>
        <w:ind w:firstLine="640"/>
      </w:pPr>
      <w:r>
        <w:rPr>
          <w:rFonts w:hint="eastAsia"/>
        </w:rPr>
        <w:t>七、其他需要说明的问题</w:t>
      </w:r>
    </w:p>
    <w:p>
      <w:pPr>
        <w:ind w:firstLine="544"/>
        <w:rPr>
          <w:strike/>
          <w:spacing w:val="-4"/>
          <w:szCs w:val="32"/>
        </w:rPr>
      </w:pPr>
      <w:r>
        <w:rPr>
          <w:rFonts w:hint="eastAsia"/>
          <w:spacing w:val="-4"/>
          <w:szCs w:val="32"/>
        </w:rPr>
        <w:t>无其他说明内容</w:t>
      </w:r>
    </w:p>
    <w:p>
      <w:pPr>
        <w:pStyle w:val="2"/>
        <w:ind w:firstLine="0" w:firstLineChars="0"/>
      </w:pPr>
      <w:bookmarkStart w:id="14" w:name="_GoBack"/>
      <w:bookmarkEnd w:id="14"/>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CA3C20F"/>
    <w:multiLevelType w:val="singleLevel"/>
    <w:tmpl w:val="7CA3C20F"/>
    <w:lvl w:ilvl="0" w:tentative="0">
      <w:start w:val="4"/>
      <w:numFmt w:val="decimal"/>
      <w:lvlText w:val="%1."/>
      <w:lvlJc w:val="left"/>
      <w:pPr>
        <w:tabs>
          <w:tab w:val="left" w:pos="312"/>
        </w:tabs>
      </w:pPr>
    </w:lvl>
  </w:abstractNum>
  <w:num w:numId="1">
    <w:abstractNumId w:val="5"/>
  </w:num>
  <w:num w:numId="2">
    <w:abstractNumId w:val="6"/>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HorizontalSpacing w:val="140"/>
  <w:drawingGridVerticalSpacing w:val="204"/>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291A1A"/>
    <w:rsid w:val="00010A9D"/>
    <w:rsid w:val="00032D45"/>
    <w:rsid w:val="003B4EED"/>
    <w:rsid w:val="005D5E76"/>
    <w:rsid w:val="006001F0"/>
    <w:rsid w:val="006A0EF3"/>
    <w:rsid w:val="0075294E"/>
    <w:rsid w:val="00776D1D"/>
    <w:rsid w:val="00856419"/>
    <w:rsid w:val="009B5A6C"/>
    <w:rsid w:val="009B5CF5"/>
    <w:rsid w:val="00BB1AD7"/>
    <w:rsid w:val="00BF2587"/>
    <w:rsid w:val="00C06E08"/>
    <w:rsid w:val="00D40769"/>
    <w:rsid w:val="0CE57393"/>
    <w:rsid w:val="0DAC3380"/>
    <w:rsid w:val="0FF62C78"/>
    <w:rsid w:val="12F1313F"/>
    <w:rsid w:val="245E1E24"/>
    <w:rsid w:val="249F2DDE"/>
    <w:rsid w:val="2C103347"/>
    <w:rsid w:val="2E483E7E"/>
    <w:rsid w:val="332F7DDD"/>
    <w:rsid w:val="33944516"/>
    <w:rsid w:val="36185B49"/>
    <w:rsid w:val="38427007"/>
    <w:rsid w:val="42FE3854"/>
    <w:rsid w:val="4F733A2D"/>
    <w:rsid w:val="5C647A62"/>
    <w:rsid w:val="5D87634F"/>
    <w:rsid w:val="60937F5E"/>
    <w:rsid w:val="61EA3381"/>
    <w:rsid w:val="636D1879"/>
    <w:rsid w:val="639A697D"/>
    <w:rsid w:val="68291A1A"/>
    <w:rsid w:val="691B1594"/>
    <w:rsid w:val="6F0D6C22"/>
    <w:rsid w:val="721F0A75"/>
    <w:rsid w:val="75BD48DD"/>
    <w:rsid w:val="76D2301A"/>
    <w:rsid w:val="77861774"/>
    <w:rsid w:val="77885AE1"/>
    <w:rsid w:val="79300B45"/>
    <w:rsid w:val="79A17504"/>
    <w:rsid w:val="7E354538"/>
    <w:rsid w:val="7E61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0">
    <w:name w:val="Default Paragraph Font"/>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8"/>
    <w:qFormat/>
    <w:uiPriority w:val="0"/>
    <w:rPr>
      <w:b/>
      <w:bCs/>
    </w:rPr>
  </w:style>
  <w:style w:type="paragraph" w:styleId="6">
    <w:name w:val="annotation text"/>
    <w:basedOn w:val="1"/>
    <w:link w:val="17"/>
    <w:qFormat/>
    <w:uiPriority w:val="0"/>
    <w:pPr>
      <w:jc w:val="left"/>
    </w:pPr>
  </w:style>
  <w:style w:type="paragraph" w:styleId="7">
    <w:name w:val="Balloon Text"/>
    <w:basedOn w:val="1"/>
    <w:link w:val="16"/>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annotation reference"/>
    <w:basedOn w:val="10"/>
    <w:qFormat/>
    <w:uiPriority w:val="0"/>
    <w:rPr>
      <w:sz w:val="21"/>
      <w:szCs w:val="21"/>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0"/>
    <w:link w:val="7"/>
    <w:qFormat/>
    <w:uiPriority w:val="0"/>
    <w:rPr>
      <w:rFonts w:eastAsia="仿宋_GB2312"/>
      <w:kern w:val="2"/>
      <w:sz w:val="18"/>
      <w:szCs w:val="18"/>
    </w:rPr>
  </w:style>
  <w:style w:type="character" w:customStyle="1" w:styleId="17">
    <w:name w:val="批注文字 Char"/>
    <w:basedOn w:val="10"/>
    <w:link w:val="6"/>
    <w:qFormat/>
    <w:uiPriority w:val="0"/>
    <w:rPr>
      <w:rFonts w:eastAsia="仿宋_GB2312"/>
      <w:kern w:val="2"/>
      <w:sz w:val="28"/>
      <w:szCs w:val="24"/>
    </w:rPr>
  </w:style>
  <w:style w:type="character" w:customStyle="1" w:styleId="18">
    <w:name w:val="批注主题 Char"/>
    <w:basedOn w:val="17"/>
    <w:link w:val="5"/>
    <w:qFormat/>
    <w:uiPriority w:val="0"/>
    <w:rPr>
      <w:rFonts w:eastAsia="仿宋_GB2312"/>
      <w:b/>
      <w:bCs/>
      <w:kern w:val="2"/>
      <w:sz w:val="28"/>
      <w:szCs w:val="24"/>
    </w:rPr>
  </w:style>
  <w:style w:type="paragraph" w:customStyle="1" w:styleId="19">
    <w:name w:val="闻政-正文段落文字"/>
    <w:basedOn w:val="1"/>
    <w:qFormat/>
    <w:uiPriority w:val="0"/>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A41279-817D-42B6-8879-D3434D9F00AA}">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28</Pages>
  <Words>2265</Words>
  <Characters>12911</Characters>
  <Lines>107</Lines>
  <Paragraphs>30</Paragraphs>
  <TotalTime>55</TotalTime>
  <ScaleCrop>false</ScaleCrop>
  <LinksUpToDate>false</LinksUpToDate>
  <CharactersWithSpaces>15146</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2020-10-15T08:16:35Z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