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ind w:firstLine="0" w:firstLineChars="0"/>
        <w:jc w:val="center"/>
        <w:rPr>
          <w:rFonts w:ascii="黑体" w:hAnsi="黑体" w:eastAsia="黑体" w:cs="黑体"/>
          <w:b/>
          <w:bCs/>
          <w:sz w:val="36"/>
          <w:szCs w:val="36"/>
        </w:rPr>
      </w:pPr>
      <w:r>
        <w:rPr>
          <w:rFonts w:hint="eastAsia" w:ascii="黑体" w:hAnsi="黑体" w:eastAsia="黑体" w:cs="黑体"/>
          <w:b/>
          <w:bCs/>
          <w:sz w:val="36"/>
          <w:szCs w:val="36"/>
        </w:rPr>
        <w:t>追加财政局政府采购云平台服务及网站费用项目支出绩效评价报告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项目名称：追加财政局政府采购云平台服务及网站费用项目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实施单位：和田地区财政局</w:t>
      </w:r>
    </w:p>
    <w:p>
      <w:pPr>
        <w:spacing w:line="360" w:lineRule="auto"/>
        <w:ind w:firstLine="602"/>
        <w:rPr>
          <w:rFonts w:ascii="黑体" w:eastAsia="黑体"/>
          <w:b/>
          <w:color w:val="000000"/>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b/>
          <w:color w:val="000000"/>
          <w:sz w:val="30"/>
          <w:szCs w:val="30"/>
        </w:rPr>
        <w:t>主管部门：和田地区财政局</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追加财政局政府采购云平台服务及网站费用项目支出绩效评价报告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rPr>
          <w:b/>
          <w:bCs/>
        </w:rPr>
      </w:pPr>
      <w:r>
        <w:rPr>
          <w:rFonts w:hint="eastAsia"/>
        </w:rPr>
        <w:t>为进一步加强政府采购监督管理，规范政府采购行为,按照自治区财政厅统一安排，和田地区计划今年上线“政采云”平台。政采云平台以互联网为基础，充分运用云计算、大数据、移动互联技术，以政府采购电子化交易和管理为重点，是涉及政府采购各领域、全流程、多用户，集政府采购网上交易、监管和服务为一体的政府采购公共服务平台，进一步提高政府采购制度化、规范化、透明化程度。</w:t>
      </w:r>
    </w:p>
    <w:p>
      <w:pPr>
        <w:pStyle w:val="2"/>
        <w:ind w:firstLine="562"/>
      </w:pPr>
      <w:r>
        <w:rPr>
          <w:rFonts w:hint="eastAsia"/>
        </w:rPr>
        <w:t>2.项目实施主体</w:t>
      </w:r>
    </w:p>
    <w:p>
      <w:pPr>
        <w:ind w:firstLine="560"/>
      </w:pPr>
      <w:r>
        <w:rPr>
          <w:rFonts w:hint="eastAsia"/>
        </w:rPr>
        <w:t>和田地区财政局无下属预算单位，下设17个处室，分别是：办公室、综合业务科、预算科、政府债务管理科、国库科、科教和文化科、行政政法科、经济建设科、农业农村科、社会保障科、资产监督管理科、会计科、金融工作科、扶贫资金管理科、政府采购管理科、财政内控监督科、人事科。</w:t>
      </w:r>
    </w:p>
    <w:p>
      <w:pPr>
        <w:pStyle w:val="2"/>
        <w:ind w:firstLine="562"/>
      </w:pPr>
      <w:r>
        <w:rPr>
          <w:rFonts w:hint="eastAsia"/>
        </w:rPr>
        <w:t>3.项目组织结构</w:t>
      </w:r>
    </w:p>
    <w:p>
      <w:pPr>
        <w:ind w:firstLine="560"/>
      </w:pPr>
      <w:r>
        <w:rPr>
          <w:rFonts w:hint="eastAsia"/>
        </w:rPr>
        <w:t>为确保我单位该项目的顺利实施，我单位成立项目实施小组。</w:t>
      </w:r>
    </w:p>
    <w:p>
      <w:pPr>
        <w:pStyle w:val="2"/>
        <w:ind w:firstLine="562"/>
      </w:pPr>
      <w:r>
        <w:rPr>
          <w:rFonts w:hint="eastAsia"/>
        </w:rPr>
        <w:t>4.主要内容及实施情况</w:t>
      </w:r>
    </w:p>
    <w:p>
      <w:pPr>
        <w:ind w:firstLine="560"/>
        <w:rPr>
          <w:b/>
          <w:bCs/>
        </w:rPr>
      </w:pPr>
      <w:r>
        <w:rPr>
          <w:rFonts w:hint="eastAsia"/>
        </w:rPr>
        <w:t>为提高政府采购效率、创新政府采购模式，按照自治区财政厅统一部署，和田地区计划于2019年6月上线“政采云”平台。各预算单位通过政采云平台实施网上超市、协议供货、定点服务、在线询价、反向竞价等电子卖场政府采购活动，使政府采购更加规范、透明、高效。</w:t>
      </w:r>
    </w:p>
    <w:p>
      <w:pPr>
        <w:pStyle w:val="2"/>
        <w:ind w:firstLine="562"/>
      </w:pPr>
      <w:r>
        <w:rPr>
          <w:rFonts w:hint="eastAsia"/>
        </w:rPr>
        <w:t>5.资金投入和使用情况</w:t>
      </w:r>
    </w:p>
    <w:p>
      <w:pPr>
        <w:ind w:firstLine="560"/>
        <w:rPr>
          <w:rFonts w:hint="eastAsia" w:ascii="仿宋_GB2312"/>
          <w:szCs w:val="28"/>
        </w:rPr>
      </w:pPr>
      <w:r>
        <w:rPr>
          <w:rFonts w:hint="eastAsia" w:ascii="仿宋_GB2312"/>
          <w:szCs w:val="28"/>
        </w:rPr>
        <w:t>（1）项目资金安排落实、总投入等情况分析</w:t>
      </w:r>
    </w:p>
    <w:p>
      <w:pPr>
        <w:ind w:firstLine="560"/>
        <w:rPr>
          <w:rFonts w:hint="eastAsia" w:ascii="仿宋_GB2312" w:hAnsi="仿宋_GB2312"/>
          <w:szCs w:val="28"/>
        </w:rPr>
      </w:pPr>
      <w:r>
        <w:rPr>
          <w:rFonts w:hint="eastAsia" w:ascii="仿宋_GB2312" w:hAnsi="仿宋_GB2312"/>
          <w:szCs w:val="28"/>
        </w:rPr>
        <w:t>追加财政局政府采购云平台服务及网站费用项目预算安排总额为22万元，其中财政资金22万元，其他资金0万元，2019年实际收到预算资金22万元，预算资金到位率为100%。</w:t>
      </w:r>
    </w:p>
    <w:p>
      <w:pPr>
        <w:numPr>
          <w:ilvl w:val="0"/>
          <w:numId w:val="2"/>
        </w:numPr>
        <w:ind w:firstLine="544"/>
        <w:rPr>
          <w:rFonts w:hint="eastAsia" w:ascii="仿宋_GB2312" w:hAnsi="楷体"/>
          <w:bCs/>
          <w:spacing w:val="-4"/>
          <w:szCs w:val="28"/>
        </w:rPr>
      </w:pPr>
      <w:r>
        <w:rPr>
          <w:rFonts w:hint="eastAsia" w:ascii="仿宋_GB2312" w:hAnsi="楷体"/>
          <w:bCs/>
          <w:spacing w:val="-4"/>
          <w:szCs w:val="28"/>
        </w:rPr>
        <w:t>项目资金实际使用情况分析</w:t>
      </w:r>
    </w:p>
    <w:p>
      <w:pPr>
        <w:ind w:firstLine="560"/>
        <w:rPr>
          <w:rFonts w:hint="eastAsia" w:ascii="仿宋_GB2312" w:hAnsi="仿宋_GB2312"/>
          <w:szCs w:val="28"/>
        </w:rPr>
      </w:pPr>
      <w:r>
        <w:rPr>
          <w:rFonts w:hint="eastAsia" w:ascii="仿宋_GB2312" w:hAnsi="仿宋_GB2312"/>
          <w:szCs w:val="28"/>
        </w:rPr>
        <w:t>本项目实际支付资金10万元，预算执行率45.45%，结余资金12万元。项目资金主要用于支付政府采购云平台服务费用10万元。</w:t>
      </w:r>
    </w:p>
    <w:p>
      <w:pPr>
        <w:pStyle w:val="4"/>
        <w:numPr>
          <w:ilvl w:val="0"/>
          <w:numId w:val="3"/>
        </w:numPr>
        <w:ind w:firstLine="643"/>
      </w:pPr>
      <w:r>
        <w:rPr>
          <w:rFonts w:hint="eastAsia"/>
        </w:rPr>
        <w:t>项目绩效目标</w:t>
      </w:r>
    </w:p>
    <w:p>
      <w:pPr>
        <w:pStyle w:val="2"/>
        <w:ind w:firstLine="562"/>
      </w:pPr>
      <w:r>
        <w:rPr>
          <w:rFonts w:hint="eastAsia"/>
        </w:rPr>
        <w:t>1.总体目标</w:t>
      </w:r>
    </w:p>
    <w:p>
      <w:pPr>
        <w:ind w:firstLine="560"/>
        <w:rPr>
          <w:b/>
          <w:bCs/>
        </w:rPr>
      </w:pPr>
      <w:r>
        <w:rPr>
          <w:rFonts w:hint="eastAsia"/>
        </w:rPr>
        <w:t>按照“放管服”及政府采购制度改革有关要求，自治区财政厅决定今年在全疆推广政采云平台线上采购工作，为保障我地区政采云平台顺利上线，预计今年实现政采云平台系统1个，实现电子交易模块不少于5个，运用平台交易笔数不少于10000笔，平台数据持久率不低于99%，保证系统验收合格率达到100%，问题解决时间控制在48小时以内，加强政府采购效率，进一步提高政府采购制度化、规范化、透明化程度。</w:t>
      </w:r>
    </w:p>
    <w:p>
      <w:pPr>
        <w:pStyle w:val="2"/>
        <w:ind w:firstLine="562"/>
      </w:pPr>
      <w:r>
        <w:rPr>
          <w:rFonts w:hint="eastAsia"/>
        </w:rPr>
        <w:t>2.阶段性目标</w:t>
      </w:r>
    </w:p>
    <w:p>
      <w:pPr>
        <w:ind w:firstLine="560"/>
        <w:rPr>
          <w:rFonts w:hAnsi="Arial" w:cs="宋体"/>
          <w:bCs/>
          <w:color w:val="000000"/>
        </w:rPr>
      </w:pPr>
      <w:r>
        <w:rPr>
          <w:rFonts w:hint="eastAsia" w:hAnsi="Arial" w:cs="宋体"/>
          <w:bCs/>
          <w:color w:val="000000"/>
        </w:rPr>
        <w:t>根据</w:t>
      </w:r>
      <w:r>
        <w:rPr>
          <w:rFonts w:hint="eastAsia" w:hAnsi="Arial" w:cs="宋体"/>
          <w:bCs/>
          <w:color w:val="000000"/>
          <w:lang w:eastAsia="zh-CN"/>
        </w:rPr>
        <w:t>相关文件</w:t>
      </w:r>
      <w:r>
        <w:rPr>
          <w:rFonts w:hint="eastAsia" w:hAnsi="Arial" w:cs="宋体"/>
          <w:bCs/>
          <w:color w:val="000000"/>
        </w:rPr>
        <w:t>规定，结合项目实施单位的规章制度以及财务相关资料，评价小组对项目绩效目标进行了进一步的完善，完善后绩效目标如下：</w:t>
      </w:r>
    </w:p>
    <w:p>
      <w:pPr>
        <w:numPr>
          <w:ilvl w:val="0"/>
          <w:numId w:val="4"/>
        </w:numPr>
        <w:ind w:firstLine="560"/>
      </w:pPr>
      <w:r>
        <w:rPr>
          <w:rFonts w:hint="eastAsia"/>
        </w:rPr>
        <w:t>项目产出目标</w:t>
      </w:r>
    </w:p>
    <w:p>
      <w:pPr>
        <w:ind w:firstLine="560"/>
      </w:pPr>
      <w:r>
        <w:rPr>
          <w:rFonts w:hint="eastAsia"/>
        </w:rPr>
        <w:t>①数量指标</w:t>
      </w:r>
    </w:p>
    <w:p>
      <w:pPr>
        <w:ind w:firstLine="560"/>
      </w:pPr>
      <w:r>
        <w:rPr>
          <w:rFonts w:hint="eastAsia"/>
        </w:rPr>
        <w:t>“系统开发数量(个)”指标，预期指标值为1；</w:t>
      </w:r>
    </w:p>
    <w:p>
      <w:pPr>
        <w:ind w:firstLine="560"/>
      </w:pPr>
      <w:r>
        <w:rPr>
          <w:rFonts w:hint="eastAsia"/>
        </w:rPr>
        <w:t>“实现电子交易模块（个）”指标，预期指标值为≥5；</w:t>
      </w:r>
    </w:p>
    <w:p>
      <w:pPr>
        <w:ind w:firstLine="560"/>
      </w:pPr>
      <w:r>
        <w:rPr>
          <w:rFonts w:hint="eastAsia"/>
        </w:rPr>
        <w:t>“运用平台交易笔数（笔）”指标，预期指标值为≥10000。</w:t>
      </w:r>
    </w:p>
    <w:p>
      <w:pPr>
        <w:ind w:firstLine="560"/>
      </w:pPr>
      <w:r>
        <w:rPr>
          <w:rFonts w:hint="eastAsia"/>
        </w:rPr>
        <w:t>②质量指标</w:t>
      </w:r>
    </w:p>
    <w:p>
      <w:pPr>
        <w:ind w:firstLine="560"/>
      </w:pPr>
      <w:r>
        <w:rPr>
          <w:rFonts w:hint="eastAsia"/>
        </w:rPr>
        <w:t>“平台数据持久性（%）”指标，预期指标值为≥99%；</w:t>
      </w:r>
    </w:p>
    <w:p>
      <w:pPr>
        <w:ind w:firstLine="560"/>
      </w:pPr>
      <w:r>
        <w:rPr>
          <w:rFonts w:hint="eastAsia"/>
        </w:rPr>
        <w:t>“系统验收合格率（%）”指标，预期指标值为100%；</w:t>
      </w:r>
    </w:p>
    <w:p>
      <w:pPr>
        <w:ind w:firstLine="560"/>
      </w:pPr>
      <w:r>
        <w:rPr>
          <w:rFonts w:hint="eastAsia"/>
        </w:rPr>
        <w:t>“办公自动化覆盖率（%）”指标，预期指标值为100%；</w:t>
      </w:r>
    </w:p>
    <w:p>
      <w:pPr>
        <w:ind w:firstLine="560"/>
      </w:pPr>
      <w:r>
        <w:rPr>
          <w:rFonts w:hint="eastAsia"/>
        </w:rPr>
        <w:t>③时效指标</w:t>
      </w:r>
    </w:p>
    <w:p>
      <w:pPr>
        <w:ind w:firstLine="560"/>
      </w:pPr>
      <w:r>
        <w:rPr>
          <w:rFonts w:hint="eastAsia"/>
        </w:rPr>
        <w:t>“资金支付及时率（%）”指标，预期指标值为≥95%；</w:t>
      </w:r>
    </w:p>
    <w:p>
      <w:pPr>
        <w:ind w:firstLine="560"/>
      </w:pPr>
      <w:r>
        <w:rPr>
          <w:rFonts w:hint="eastAsia"/>
        </w:rPr>
        <w:t>“项目完成时间”指标，预期指标值为2019年12月31日；</w:t>
      </w:r>
    </w:p>
    <w:p>
      <w:pPr>
        <w:ind w:firstLine="560"/>
      </w:pPr>
      <w:r>
        <w:rPr>
          <w:rFonts w:hint="eastAsia"/>
        </w:rPr>
        <w:t>“页面请求响应时间（秒）”指标，预期指标值为≤2；</w:t>
      </w:r>
    </w:p>
    <w:p>
      <w:pPr>
        <w:ind w:firstLine="560"/>
      </w:pPr>
      <w:r>
        <w:rPr>
          <w:rFonts w:hint="eastAsia"/>
        </w:rPr>
        <w:t>“问题解决时间期限（小时）”指标，预期指标值为≤48；</w:t>
      </w:r>
    </w:p>
    <w:p>
      <w:pPr>
        <w:ind w:firstLine="560"/>
      </w:pPr>
      <w:r>
        <w:rPr>
          <w:rFonts w:hint="eastAsia"/>
        </w:rPr>
        <w:t>④成本指标</w:t>
      </w:r>
    </w:p>
    <w:p>
      <w:pPr>
        <w:ind w:firstLine="560"/>
      </w:pPr>
      <w:r>
        <w:rPr>
          <w:rFonts w:hint="eastAsia"/>
        </w:rPr>
        <w:t>“服务及网站控制范围（万元）”指标，预期指标值为≤22。</w:t>
      </w:r>
    </w:p>
    <w:p>
      <w:pPr>
        <w:ind w:firstLine="560"/>
      </w:pPr>
      <w:r>
        <w:rPr>
          <w:rFonts w:hint="eastAsia"/>
        </w:rPr>
        <w:t>（2）项目效益目标</w:t>
      </w:r>
    </w:p>
    <w:p>
      <w:pPr>
        <w:ind w:firstLine="560"/>
      </w:pPr>
      <w:r>
        <w:rPr>
          <w:rFonts w:hint="eastAsia"/>
        </w:rPr>
        <w:t>①社会效益指标</w:t>
      </w:r>
    </w:p>
    <w:p>
      <w:pPr>
        <w:ind w:firstLine="560"/>
      </w:pPr>
      <w:r>
        <w:rPr>
          <w:rFonts w:hint="eastAsia"/>
        </w:rPr>
        <w:t>“政府采购效率提高情况”指标，预期指标值为有效提高；</w:t>
      </w:r>
    </w:p>
    <w:p>
      <w:pPr>
        <w:ind w:firstLine="560"/>
      </w:pPr>
      <w:r>
        <w:rPr>
          <w:rFonts w:hint="eastAsia"/>
        </w:rPr>
        <w:t>“公共服务水平提高情况”指标，预期指标值为有效提高。</w:t>
      </w:r>
    </w:p>
    <w:p>
      <w:pPr>
        <w:ind w:firstLine="560"/>
      </w:pPr>
      <w:r>
        <w:rPr>
          <w:rFonts w:hint="eastAsia"/>
        </w:rPr>
        <w:t>②可持续影响</w:t>
      </w:r>
    </w:p>
    <w:p>
      <w:pPr>
        <w:ind w:firstLine="560"/>
      </w:pPr>
      <w:r>
        <w:rPr>
          <w:rFonts w:hint="eastAsia"/>
        </w:rPr>
        <w:t>“系统综合利用率（%）”指标，预期指标值为≥95%；</w:t>
      </w:r>
    </w:p>
    <w:p>
      <w:pPr>
        <w:ind w:firstLine="560"/>
      </w:pPr>
      <w:r>
        <w:rPr>
          <w:rFonts w:hint="eastAsia"/>
        </w:rPr>
        <w:t>“保证政府采购制度化、规范化、透明化”指标，预期指标值为长期；</w:t>
      </w:r>
    </w:p>
    <w:p>
      <w:pPr>
        <w:ind w:firstLine="560"/>
      </w:pPr>
      <w:r>
        <w:rPr>
          <w:rFonts w:hint="eastAsia"/>
        </w:rPr>
        <w:t>（3）相关满意度目标</w:t>
      </w:r>
    </w:p>
    <w:p>
      <w:pPr>
        <w:ind w:firstLine="560"/>
      </w:pPr>
      <w:r>
        <w:rPr>
          <w:rFonts w:hint="eastAsia"/>
        </w:rPr>
        <w:t>①满意度指标</w:t>
      </w:r>
    </w:p>
    <w:p>
      <w:pPr>
        <w:ind w:firstLine="560"/>
      </w:pPr>
      <w:r>
        <w:rPr>
          <w:rFonts w:hint="eastAsia"/>
        </w:rPr>
        <w:t>“采购单位满意度（%）”指标，预期指标值为≥90%；</w:t>
      </w:r>
    </w:p>
    <w:p>
      <w:pPr>
        <w:ind w:firstLine="560"/>
      </w:pPr>
      <w:r>
        <w:rPr>
          <w:rFonts w:hint="eastAsia"/>
        </w:rPr>
        <w:t>“预算单位使用满意度（%）”指标，预期指标值为≥90%。</w:t>
      </w:r>
    </w:p>
    <w:p>
      <w:pPr>
        <w:pStyle w:val="3"/>
        <w:ind w:firstLine="640"/>
      </w:pPr>
      <w:r>
        <w:rPr>
          <w:rFonts w:hint="eastAsia"/>
        </w:rPr>
        <w:t>二、绩效评价工作开展情况</w:t>
      </w:r>
    </w:p>
    <w:p>
      <w:pPr>
        <w:pStyle w:val="4"/>
        <w:numPr>
          <w:ilvl w:val="0"/>
          <w:numId w:val="5"/>
        </w:numPr>
        <w:ind w:firstLine="643"/>
        <w:rPr>
          <w:rFonts w:ascii="楷体" w:hAnsi="楷体" w:cs="楷体"/>
          <w:szCs w:val="32"/>
        </w:rPr>
      </w:pPr>
      <w:bookmarkStart w:id="0" w:name="_Toc21664"/>
      <w:bookmarkStart w:id="1" w:name="_Toc26632"/>
      <w:bookmarkStart w:id="2" w:name="_Toc22922"/>
      <w:bookmarkStart w:id="3" w:name="_Toc12868"/>
      <w:bookmarkStart w:id="4" w:name="_Toc480473081"/>
      <w:bookmarkStart w:id="5" w:name="_Toc5462343"/>
      <w:bookmarkStart w:id="6" w:name="_Toc5258"/>
      <w:bookmarkStart w:id="7" w:name="_Toc22169_WPSOffice_Level2"/>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ind w:firstLine="560"/>
      </w:pPr>
      <w:r>
        <w:rPr>
          <w:rFonts w:hint="eastAsia"/>
        </w:rPr>
        <w:t>此次我单位根据《财政支出绩效评价管理暂行办法》（财预〔2020〕10号）文件要求对2019年度我单位实施的追加财政局政府采购云平台服务及网站费用项目开展部门绩效评价，本次绩效评价主要围绕项目</w:t>
      </w:r>
      <w:r>
        <w:t>资金使用情况、财务管理状况和资产配置、使用、处置及其收益管理情况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5"/>
        </w:numPr>
        <w:ind w:firstLine="643"/>
      </w:pPr>
      <w:r>
        <w:rPr>
          <w:rFonts w:hint="eastAsia"/>
        </w:rPr>
        <w:t>评价工作简述</w:t>
      </w:r>
    </w:p>
    <w:p>
      <w:pPr>
        <w:pStyle w:val="2"/>
        <w:ind w:firstLine="562"/>
      </w:pPr>
      <w:r>
        <w:rPr>
          <w:rFonts w:hint="eastAsia"/>
        </w:rPr>
        <w:t>1.绩效评价原则</w:t>
      </w:r>
    </w:p>
    <w:p>
      <w:pPr>
        <w:spacing w:line="600" w:lineRule="exact"/>
        <w:ind w:firstLine="560"/>
      </w:pPr>
      <w:r>
        <w:rPr>
          <w:rFonts w:hint="eastAsia"/>
        </w:rPr>
        <w:t>依据</w:t>
      </w:r>
      <w:r>
        <w:rPr>
          <w:rFonts w:hint="eastAsia"/>
          <w:lang w:eastAsia="zh-CN"/>
        </w:rPr>
        <w:t>相关文件</w:t>
      </w:r>
      <w:r>
        <w:rPr>
          <w:rFonts w:hint="eastAsia"/>
        </w:rPr>
        <w:t>要求，本次绩效评价秉承科学规范、公正公开、分级分类、绩效相关等原则，按照从投入、过程到产出效果和影响的绩效逻辑路径，结合追加财政局政府采购云平台服务及网站费用项目实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2"/>
        <w:ind w:firstLine="562"/>
      </w:pPr>
      <w:bookmarkStart w:id="8" w:name="_Toc1913"/>
      <w:bookmarkStart w:id="9" w:name="_Toc419984722"/>
      <w:bookmarkStart w:id="10" w:name="_Toc428278230"/>
      <w:bookmarkStart w:id="11" w:name="_Toc26131"/>
      <w:r>
        <w:rPr>
          <w:rFonts w:hint="eastAsia"/>
        </w:rPr>
        <w:t>2.绩效评价指标体系</w:t>
      </w:r>
      <w:bookmarkEnd w:id="8"/>
      <w:bookmarkEnd w:id="9"/>
      <w:bookmarkEnd w:id="10"/>
      <w:bookmarkEnd w:id="11"/>
    </w:p>
    <w:p>
      <w:pPr>
        <w:pStyle w:val="2"/>
        <w:ind w:firstLine="562"/>
        <w:rPr>
          <w:rFonts w:hint="eastAsia"/>
          <w:lang w:val="zh-TW" w:eastAsia="zh-CN"/>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eastAsia="zh-CN"/>
        </w:rPr>
        <w:t>。</w:t>
      </w:r>
    </w:p>
    <w:p>
      <w:pPr>
        <w:pStyle w:val="2"/>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rPr>
          <w:rFonts w:hint="eastAsia"/>
        </w:rPr>
        <w:t>4.评价标准</w:t>
      </w:r>
    </w:p>
    <w:p>
      <w:pPr>
        <w:ind w:firstLine="560"/>
        <w:rPr>
          <w:color w:val="FF0000"/>
        </w:rPr>
      </w:pPr>
      <w:r>
        <w:rPr>
          <w:rFonts w:hint="eastAsia"/>
        </w:rPr>
        <w:t>本次绩效评价采用的标准计划标准、行业标准、历史标准对绩效指标完成情况进行对比。</w:t>
      </w:r>
    </w:p>
    <w:p>
      <w:pPr>
        <w:pStyle w:val="4"/>
        <w:numPr>
          <w:ilvl w:val="0"/>
          <w:numId w:val="5"/>
        </w:numPr>
        <w:ind w:firstLine="643"/>
      </w:pPr>
      <w:r>
        <w:rPr>
          <w:rFonts w:hint="eastAsia"/>
        </w:rPr>
        <w:t>绩效评价工作过程</w:t>
      </w:r>
    </w:p>
    <w:p>
      <w:pPr>
        <w:ind w:firstLine="560"/>
      </w:pPr>
      <w:r>
        <w:rPr>
          <w:rFonts w:hint="eastAsia"/>
          <w:b w:val="0"/>
        </w:rPr>
        <w:t>本次评价成立了评价工作组</w:t>
      </w:r>
      <w:r>
        <w:rPr>
          <w:rFonts w:hint="eastAsia"/>
          <w:b w:val="0"/>
          <w:lang w:eastAsia="zh-CN"/>
        </w:rPr>
        <w:t>。</w:t>
      </w:r>
      <w:r>
        <w:rPr>
          <w:rFonts w:hint="eastAsia"/>
        </w:rPr>
        <w:t>本次评价设计了评价方案、评价指标体系，通过资料分析、调研、访谈满意度调查等方式形成评价结论，确定评价意见，并出具评价报告。　</w:t>
      </w:r>
    </w:p>
    <w:p>
      <w:pPr>
        <w:pStyle w:val="3"/>
        <w:numPr>
          <w:ilvl w:val="0"/>
          <w:numId w:val="6"/>
        </w:numPr>
        <w:ind w:firstLine="640"/>
      </w:pPr>
      <w:r>
        <w:rPr>
          <w:rFonts w:hint="eastAsia"/>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采用的方法比较法、公众评判法，</w:t>
      </w:r>
      <w:r>
        <w:rPr>
          <w:rFonts w:hint="eastAsia"/>
          <w:lang w:val="zh-TW" w:eastAsia="zh-TW"/>
        </w:rPr>
        <w:t>对</w:t>
      </w:r>
      <w:r>
        <w:rPr>
          <w:rFonts w:hint="eastAsia"/>
        </w:rPr>
        <w:t>追加财政局政府采购云平台服务及网站费用项目</w:t>
      </w:r>
      <w:r>
        <w:rPr>
          <w:rFonts w:hint="eastAsia"/>
          <w:lang w:val="zh-TW" w:eastAsia="zh-TW"/>
        </w:rPr>
        <w:t>绩效进行客观评价，最终评分结果：总分为</w:t>
      </w:r>
      <w:r>
        <w:rPr>
          <w:rFonts w:hint="eastAsia"/>
        </w:rPr>
        <w:t>93.66</w:t>
      </w:r>
      <w:r>
        <w:rPr>
          <w:rFonts w:hint="eastAsia"/>
          <w:lang w:val="zh-TW" w:eastAsia="zh-TW"/>
        </w:rPr>
        <w:t>分，绩效评级为“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分值如下表所示：</w:t>
      </w:r>
    </w:p>
    <w:tbl>
      <w:tblPr>
        <w:tblStyle w:val="16"/>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表3-1：追加财政局政府采购云平台服务及网站费用项目得分表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sz w:val="24"/>
              </w:rPr>
              <w:t>17.82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27.34</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28.5</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93.66</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89.10%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91%</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95%</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93.66%</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项目决策由3个二级指标和6个三级指标构成，权重分20分，实际得分20分，</w:t>
      </w:r>
      <w:r>
        <w:rPr>
          <w:rFonts w:hint="eastAsia"/>
          <w:color w:val="000000"/>
          <w:u w:color="000000"/>
          <w:lang w:val="zh-TW" w:eastAsia="zh-TW"/>
        </w:rPr>
        <w:t>各指标业绩值和绩效分值如表</w:t>
      </w:r>
      <w:r>
        <w:rPr>
          <w:rFonts w:hint="eastAsia"/>
          <w:color w:val="000000"/>
          <w:u w:color="000000"/>
        </w:rPr>
        <w:t>4</w:t>
      </w:r>
      <w:r>
        <w:rPr>
          <w:color w:val="000000"/>
          <w:u w:color="000000"/>
        </w:rPr>
        <w:t>-1</w:t>
      </w:r>
      <w:r>
        <w:rPr>
          <w:rFonts w:hint="eastAsia"/>
          <w:color w:val="000000"/>
          <w:u w:color="000000"/>
          <w:lang w:val="zh-TW" w:eastAsia="zh-TW"/>
        </w:rPr>
        <w:t>所示</w:t>
      </w:r>
      <w:r>
        <w:rPr>
          <w:rFonts w:hint="eastAsia"/>
        </w:rPr>
        <w:t>：</w:t>
      </w: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u w:color="000000"/>
          <w:lang w:val="zh-TW" w:eastAsia="zh-TW"/>
        </w:rPr>
        <w:t>项目决策指标及分值</w:t>
      </w:r>
    </w:p>
    <w:tbl>
      <w:tblPr>
        <w:tblStyle w:val="16"/>
        <w:tblW w:w="8447" w:type="dxa"/>
        <w:jc w:val="center"/>
        <w:tblInd w:w="0" w:type="dxa"/>
        <w:tblLayout w:type="fixed"/>
        <w:tblCellMar>
          <w:top w:w="0" w:type="dxa"/>
          <w:left w:w="0" w:type="dxa"/>
          <w:bottom w:w="0" w:type="dxa"/>
          <w:right w:w="0" w:type="dxa"/>
        </w:tblCellMar>
      </w:tblPr>
      <w:tblGrid>
        <w:gridCol w:w="1077"/>
        <w:gridCol w:w="960"/>
        <w:gridCol w:w="1251"/>
        <w:gridCol w:w="794"/>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pPr>
            <w:r>
              <w:rPr>
                <w:rFonts w:hint="eastAsia"/>
              </w:rPr>
              <w:t>3</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Layout w:type="fixed"/>
          <w:tblCellMar>
            <w:top w:w="0" w:type="dxa"/>
            <w:left w:w="0" w:type="dxa"/>
            <w:bottom w:w="0" w:type="dxa"/>
            <w:right w:w="0" w:type="dxa"/>
          </w:tblCellMar>
        </w:tblPrEx>
        <w:trPr>
          <w:trHeight w:val="334" w:hRule="atLeast"/>
          <w:tblHeader/>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ind w:firstLine="643"/>
      </w:pPr>
      <w:r>
        <w:rPr>
          <w:rFonts w:hint="eastAsia"/>
        </w:rPr>
        <w:t>（二）项目过程情况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rFonts w:hint="eastAsia"/>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20</w:t>
      </w:r>
      <w:r>
        <w:rPr>
          <w:rFonts w:hint="eastAsia"/>
          <w:color w:val="000000"/>
          <w:u w:color="000000"/>
          <w:lang w:val="zh-TW" w:eastAsia="zh-TW"/>
        </w:rPr>
        <w:t>分，实际得分</w:t>
      </w:r>
      <w:r>
        <w:rPr>
          <w:rFonts w:hint="eastAsia"/>
          <w:color w:val="000000"/>
          <w:u w:color="000000"/>
        </w:rPr>
        <w:t>17.82</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2</w:t>
      </w:r>
      <w:r>
        <w:rPr>
          <w:rFonts w:hint="eastAsia"/>
          <w:color w:val="000000"/>
          <w:u w:color="000000"/>
          <w:lang w:val="zh-TW" w:eastAsia="zh-TW"/>
        </w:rPr>
        <w:t>所示：</w:t>
      </w:r>
    </w:p>
    <w:p>
      <w:pPr>
        <w:ind w:firstLine="562"/>
        <w:jc w:val="center"/>
        <w:rPr>
          <w:b/>
          <w:bCs/>
          <w:color w:val="000000"/>
          <w:u w:color="000000"/>
        </w:rPr>
      </w:pPr>
      <w:r>
        <w:rPr>
          <w:rFonts w:hint="eastAsia"/>
          <w:b/>
          <w:bCs/>
          <w:color w:val="000000"/>
          <w:u w:color="000000"/>
          <w:lang w:val="zh-TW" w:eastAsia="zh-TW"/>
        </w:rPr>
        <w:t>表</w:t>
      </w:r>
      <w:r>
        <w:rPr>
          <w:rFonts w:hint="eastAsia"/>
          <w:b/>
          <w:bCs/>
          <w:color w:val="000000"/>
          <w:u w:color="000000"/>
        </w:rPr>
        <w:t>4</w:t>
      </w:r>
      <w:r>
        <w:rPr>
          <w:b/>
          <w:bCs/>
          <w:color w:val="000000"/>
          <w:u w:color="000000"/>
        </w:rPr>
        <w:t>-</w:t>
      </w:r>
      <w:r>
        <w:rPr>
          <w:rFonts w:hint="eastAsia"/>
          <w:b/>
          <w:bCs/>
          <w:color w:val="000000"/>
          <w:u w:color="000000"/>
        </w:rPr>
        <w:t>2</w:t>
      </w:r>
      <w:r>
        <w:rPr>
          <w:rFonts w:hint="eastAsia"/>
          <w:b/>
          <w:bCs/>
          <w:color w:val="000000"/>
          <w:u w:color="000000"/>
          <w:lang w:val="zh-TW" w:eastAsia="zh-TW"/>
        </w:rPr>
        <w:t>项目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16"/>
        <w:tblW w:w="8317" w:type="dxa"/>
        <w:jc w:val="center"/>
        <w:tblInd w:w="0" w:type="dxa"/>
        <w:tblLayout w:type="fixed"/>
        <w:tblCellMar>
          <w:top w:w="0" w:type="dxa"/>
          <w:left w:w="0" w:type="dxa"/>
          <w:bottom w:w="0" w:type="dxa"/>
          <w:right w:w="0" w:type="dxa"/>
        </w:tblCellMar>
      </w:tblPr>
      <w:tblGrid>
        <w:gridCol w:w="1182"/>
        <w:gridCol w:w="738"/>
        <w:gridCol w:w="1248"/>
        <w:gridCol w:w="1176"/>
        <w:gridCol w:w="1644"/>
        <w:gridCol w:w="1176"/>
        <w:gridCol w:w="1153"/>
      </w:tblGrid>
      <w:tr>
        <w:tblPrEx>
          <w:tblLayout w:type="fixed"/>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1.82</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17.82</w:t>
            </w:r>
          </w:p>
        </w:tc>
      </w:tr>
    </w:tbl>
    <w:p>
      <w:pPr>
        <w:pStyle w:val="4"/>
        <w:numPr>
          <w:ilvl w:val="0"/>
          <w:numId w:val="5"/>
        </w:numPr>
        <w:ind w:firstLine="643"/>
      </w:pPr>
      <w:r>
        <w:rPr>
          <w:rFonts w:hint="eastAsia"/>
        </w:rPr>
        <w:t>项目产出情况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w:t>
      </w:r>
      <w:r>
        <w:rPr>
          <w:rFonts w:hint="eastAsia"/>
          <w:color w:val="000000"/>
          <w:u w:color="000000"/>
        </w:rPr>
        <w:t>4</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11</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30</w:t>
      </w:r>
      <w:r>
        <w:rPr>
          <w:rFonts w:hint="eastAsia"/>
          <w:color w:val="000000"/>
          <w:u w:color="000000"/>
          <w:lang w:val="zh-TW" w:eastAsia="zh-TW"/>
        </w:rPr>
        <w:t>分，实际得分</w:t>
      </w:r>
      <w:r>
        <w:rPr>
          <w:rFonts w:hint="eastAsia"/>
          <w:color w:val="000000"/>
          <w:u w:color="000000"/>
        </w:rPr>
        <w:t>27.34</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3</w:t>
      </w:r>
      <w:r>
        <w:rPr>
          <w:rFonts w:hint="eastAsia"/>
          <w:color w:val="000000"/>
          <w:u w:color="000000"/>
          <w:lang w:val="zh-TW" w:eastAsia="zh-TW"/>
        </w:rPr>
        <w:t>所示：</w:t>
      </w:r>
    </w:p>
    <w:p>
      <w:pPr>
        <w:keepNext/>
        <w:keepLines/>
        <w:ind w:firstLine="562"/>
        <w:jc w:val="center"/>
        <w:rPr>
          <w:rFonts w:ascii="仿宋_GB2312" w:hAnsi="仿宋_GB2312" w:cs="仿宋_GB2312"/>
          <w:b/>
          <w:bCs/>
        </w:rP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4-3</w:t>
      </w:r>
      <w:r>
        <w:rPr>
          <w:rFonts w:hint="eastAsia" w:ascii="仿宋_GB2312" w:hAnsi="仿宋_GB2312" w:cs="仿宋_GB2312"/>
          <w:b/>
          <w:bCs/>
        </w:rPr>
        <w:t>项目产出</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6"/>
        <w:tblW w:w="8869" w:type="dxa"/>
        <w:tblInd w:w="0" w:type="dxa"/>
        <w:tblLayout w:type="fixed"/>
        <w:tblCellMar>
          <w:top w:w="0" w:type="dxa"/>
          <w:left w:w="0" w:type="dxa"/>
          <w:bottom w:w="0" w:type="dxa"/>
          <w:right w:w="0" w:type="dxa"/>
        </w:tblCellMar>
      </w:tblPr>
      <w:tblGrid>
        <w:gridCol w:w="915"/>
        <w:gridCol w:w="1031"/>
        <w:gridCol w:w="2522"/>
        <w:gridCol w:w="1439"/>
        <w:gridCol w:w="598"/>
        <w:gridCol w:w="1004"/>
        <w:gridCol w:w="728"/>
        <w:gridCol w:w="632"/>
      </w:tblGrid>
      <w:tr>
        <w:tblPrEx>
          <w:tblLayout w:type="fixed"/>
          <w:tblCellMar>
            <w:top w:w="0" w:type="dxa"/>
            <w:left w:w="0" w:type="dxa"/>
            <w:bottom w:w="0" w:type="dxa"/>
            <w:right w:w="0" w:type="dxa"/>
          </w:tblCellMar>
        </w:tblPrEx>
        <w:trPr>
          <w:trHeight w:val="23" w:hRule="atLeast"/>
        </w:trPr>
        <w:tc>
          <w:tcPr>
            <w:tcW w:w="9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一级指标</w:t>
            </w:r>
          </w:p>
        </w:tc>
        <w:tc>
          <w:tcPr>
            <w:tcW w:w="10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二级指标</w:t>
            </w:r>
          </w:p>
        </w:tc>
        <w:tc>
          <w:tcPr>
            <w:tcW w:w="252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三级指标</w:t>
            </w:r>
          </w:p>
        </w:tc>
        <w:tc>
          <w:tcPr>
            <w:tcW w:w="14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年度指标值</w:t>
            </w:r>
          </w:p>
        </w:tc>
        <w:tc>
          <w:tcPr>
            <w:tcW w:w="5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标杆分值</w:t>
            </w:r>
          </w:p>
        </w:tc>
        <w:tc>
          <w:tcPr>
            <w:tcW w:w="100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全年实际完成值</w:t>
            </w:r>
          </w:p>
        </w:tc>
        <w:tc>
          <w:tcPr>
            <w:tcW w:w="7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指标得分</w:t>
            </w:r>
          </w:p>
        </w:tc>
        <w:tc>
          <w:tcPr>
            <w:tcW w:w="6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备注</w:t>
            </w:r>
          </w:p>
        </w:tc>
      </w:tr>
      <w:tr>
        <w:tblPrEx>
          <w:tblLayout w:type="fixed"/>
          <w:tblCellMar>
            <w:top w:w="0" w:type="dxa"/>
            <w:left w:w="0" w:type="dxa"/>
            <w:bottom w:w="0" w:type="dxa"/>
            <w:right w:w="0" w:type="dxa"/>
          </w:tblCellMar>
        </w:tblPrEx>
        <w:trPr>
          <w:trHeight w:val="23" w:hRule="atLeast"/>
        </w:trPr>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产出</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数量指标</w:t>
            </w:r>
          </w:p>
        </w:tc>
        <w:tc>
          <w:tcPr>
            <w:tcW w:w="2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20"/>
                <w:szCs w:val="20"/>
              </w:rPr>
              <w:t>系统开发数量（个）</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20"/>
                <w:szCs w:val="20"/>
              </w:rPr>
              <w:t>1</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pPr>
            <w:r>
              <w:rPr>
                <w:rFonts w:hint="eastAsia" w:ascii="宋体" w:hAnsi="宋体" w:eastAsia="宋体" w:cs="宋体"/>
                <w:color w:val="000000"/>
                <w:kern w:val="0"/>
                <w:sz w:val="20"/>
                <w:szCs w:val="20"/>
              </w:rPr>
              <w:t>3</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20"/>
                <w:szCs w:val="20"/>
              </w:rPr>
              <w:t>1</w:t>
            </w: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360"/>
              <w:jc w:val="center"/>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18"/>
                <w:szCs w:val="18"/>
              </w:rPr>
              <w:t>3</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20"/>
                <w:szCs w:val="20"/>
              </w:rPr>
              <w:t>实现电子交易模块（个）</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20"/>
                <w:szCs w:val="20"/>
              </w:rPr>
              <w:t>≥5</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20"/>
                <w:szCs w:val="20"/>
              </w:rPr>
              <w:t>3</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20"/>
                <w:szCs w:val="20"/>
              </w:rPr>
              <w:t>5</w:t>
            </w: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360"/>
              <w:jc w:val="center"/>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18"/>
                <w:szCs w:val="18"/>
              </w:rPr>
              <w:t>3</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20"/>
                <w:szCs w:val="20"/>
              </w:rPr>
              <w:t>运用平台交易笔数（笔）</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20"/>
                <w:szCs w:val="20"/>
              </w:rPr>
              <w:t>≥10000</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20"/>
                <w:szCs w:val="20"/>
              </w:rPr>
              <w:t>3</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20"/>
                <w:szCs w:val="20"/>
              </w:rPr>
              <w:t>11866</w:t>
            </w: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360"/>
              <w:jc w:val="center"/>
              <w:textAlignment w:val="center"/>
              <w:rPr>
                <w:rFonts w:asciiTheme="minorEastAsia" w:hAnsiTheme="minorEastAsia" w:eastAsiaTheme="minorEastAsia" w:cstheme="minorEastAsia"/>
                <w:sz w:val="24"/>
              </w:rPr>
            </w:pPr>
            <w:r>
              <w:rPr>
                <w:rFonts w:hint="eastAsia" w:ascii="宋体" w:hAnsi="宋体" w:eastAsia="宋体" w:cs="宋体"/>
                <w:color w:val="000000"/>
                <w:kern w:val="0"/>
                <w:sz w:val="18"/>
                <w:szCs w:val="18"/>
              </w:rPr>
              <w:t>3</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质量指标</w:t>
            </w:r>
          </w:p>
        </w:tc>
        <w:tc>
          <w:tcPr>
            <w:tcW w:w="2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平台数据持久率（%）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≥99%</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3</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100%</w:t>
            </w: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360"/>
              <w:jc w:val="center"/>
              <w:textAlignment w:val="center"/>
              <w:rPr>
                <w:rFonts w:ascii="宋体" w:hAnsi="宋体" w:eastAsia="宋体" w:cstheme="minorEastAsia"/>
                <w:sz w:val="18"/>
                <w:szCs w:val="18"/>
              </w:rPr>
            </w:pPr>
            <w:r>
              <w:rPr>
                <w:rFonts w:hint="eastAsia" w:ascii="宋体" w:hAnsi="宋体" w:eastAsia="宋体" w:cs="宋体"/>
                <w:color w:val="000000"/>
                <w:kern w:val="0"/>
                <w:sz w:val="18"/>
                <w:szCs w:val="18"/>
              </w:rPr>
              <w:t>3</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宋体" w:hAnsi="宋体" w:eastAsia="宋体" w:cstheme="minorEastAsia"/>
                <w:color w:val="000000"/>
                <w:sz w:val="18"/>
                <w:szCs w:val="18"/>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系统验收合格率（%）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100%</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3</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100%</w:t>
            </w: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360"/>
              <w:jc w:val="center"/>
              <w:textAlignment w:val="center"/>
              <w:rPr>
                <w:rFonts w:ascii="宋体" w:hAnsi="宋体" w:eastAsia="宋体" w:cstheme="minorEastAsia"/>
                <w:sz w:val="18"/>
                <w:szCs w:val="18"/>
              </w:rPr>
            </w:pPr>
            <w:r>
              <w:rPr>
                <w:rFonts w:hint="eastAsia" w:ascii="宋体" w:hAnsi="宋体" w:eastAsia="宋体" w:cs="宋体"/>
                <w:color w:val="000000"/>
                <w:kern w:val="0"/>
                <w:sz w:val="18"/>
                <w:szCs w:val="18"/>
              </w:rPr>
              <w:t>3</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宋体" w:hAnsi="宋体" w:eastAsia="宋体" w:cstheme="minorEastAsia"/>
                <w:color w:val="000000"/>
                <w:sz w:val="18"/>
                <w:szCs w:val="18"/>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办公自动化覆盖率（%）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100%</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3</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100%</w:t>
            </w: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360"/>
              <w:jc w:val="center"/>
              <w:textAlignment w:val="center"/>
              <w:rPr>
                <w:rFonts w:ascii="宋体" w:hAnsi="宋体" w:eastAsia="宋体" w:cstheme="minorEastAsia"/>
                <w:sz w:val="18"/>
                <w:szCs w:val="18"/>
              </w:rPr>
            </w:pPr>
            <w:r>
              <w:rPr>
                <w:rFonts w:hint="eastAsia" w:ascii="宋体" w:hAnsi="宋体" w:eastAsia="宋体" w:cs="宋体"/>
                <w:color w:val="000000"/>
                <w:kern w:val="0"/>
                <w:sz w:val="18"/>
                <w:szCs w:val="18"/>
              </w:rPr>
              <w:t>3</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宋体" w:hAnsi="宋体" w:eastAsia="宋体" w:cstheme="minorEastAsia"/>
                <w:color w:val="000000"/>
                <w:sz w:val="18"/>
                <w:szCs w:val="18"/>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时效指标</w:t>
            </w:r>
          </w:p>
        </w:tc>
        <w:tc>
          <w:tcPr>
            <w:tcW w:w="2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资金支付及时率（%）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≥95%</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3</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45.45%</w:t>
            </w: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rFonts w:ascii="宋体" w:hAnsi="宋体" w:eastAsia="宋体" w:cstheme="minorEastAsia"/>
                <w:sz w:val="18"/>
                <w:szCs w:val="18"/>
              </w:rPr>
            </w:pPr>
            <w:r>
              <w:rPr>
                <w:rFonts w:hint="eastAsia" w:ascii="宋体" w:hAnsi="宋体" w:eastAsia="宋体" w:cs="宋体"/>
                <w:color w:val="000000"/>
                <w:kern w:val="0"/>
                <w:sz w:val="18"/>
                <w:szCs w:val="18"/>
              </w:rPr>
              <w:t>1.44</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宋体" w:hAnsi="宋体" w:eastAsia="宋体" w:cstheme="minorEastAsia"/>
                <w:color w:val="000000"/>
                <w:sz w:val="18"/>
                <w:szCs w:val="18"/>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宋体" w:hAnsi="宋体" w:eastAsia="宋体" w:cs="宋体"/>
                <w:kern w:val="0"/>
                <w:sz w:val="18"/>
                <w:szCs w:val="18"/>
              </w:rPr>
            </w:pPr>
            <w:r>
              <w:rPr>
                <w:rFonts w:hint="eastAsia" w:ascii="宋体" w:hAnsi="宋体" w:eastAsia="宋体" w:cs="宋体"/>
                <w:color w:val="000000"/>
                <w:kern w:val="0"/>
                <w:sz w:val="20"/>
                <w:szCs w:val="20"/>
              </w:rPr>
              <w:t>项目完成时间</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rFonts w:ascii="宋体" w:hAnsi="宋体" w:eastAsia="宋体" w:cs="宋体"/>
                <w:kern w:val="0"/>
                <w:sz w:val="18"/>
                <w:szCs w:val="18"/>
              </w:rPr>
            </w:pPr>
            <w:r>
              <w:rPr>
                <w:rFonts w:hint="eastAsia" w:ascii="宋体" w:hAnsi="宋体" w:eastAsia="宋体" w:cs="宋体"/>
                <w:color w:val="000000"/>
                <w:kern w:val="0"/>
                <w:sz w:val="20"/>
                <w:szCs w:val="20"/>
              </w:rPr>
              <w:t>2019年12月31日</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宋体"/>
                <w:kern w:val="0"/>
                <w:sz w:val="18"/>
                <w:szCs w:val="18"/>
              </w:rPr>
            </w:pPr>
            <w:r>
              <w:rPr>
                <w:rFonts w:hint="eastAsia" w:ascii="宋体" w:hAnsi="宋体" w:eastAsia="宋体" w:cs="宋体"/>
                <w:color w:val="000000"/>
                <w:kern w:val="0"/>
                <w:sz w:val="20"/>
                <w:szCs w:val="20"/>
              </w:rPr>
              <w:t>3</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宋体"/>
                <w:kern w:val="0"/>
                <w:sz w:val="18"/>
                <w:szCs w:val="18"/>
              </w:rPr>
            </w:pPr>
            <w:r>
              <w:rPr>
                <w:rFonts w:hint="eastAsia" w:ascii="宋体" w:hAnsi="宋体" w:eastAsia="宋体" w:cs="宋体"/>
                <w:color w:val="000000"/>
                <w:kern w:val="0"/>
                <w:sz w:val="20"/>
                <w:szCs w:val="20"/>
              </w:rPr>
              <w:t>100%</w:t>
            </w: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360"/>
              <w:jc w:val="center"/>
              <w:textAlignment w:val="center"/>
              <w:rPr>
                <w:rFonts w:ascii="宋体" w:hAnsi="宋体" w:eastAsia="宋体" w:cstheme="minorEastAsia"/>
                <w:sz w:val="18"/>
                <w:szCs w:val="18"/>
              </w:rPr>
            </w:pPr>
            <w:r>
              <w:rPr>
                <w:rFonts w:hint="eastAsia" w:ascii="宋体" w:hAnsi="宋体" w:eastAsia="宋体" w:cs="宋体"/>
                <w:color w:val="000000"/>
                <w:kern w:val="0"/>
                <w:sz w:val="18"/>
                <w:szCs w:val="18"/>
              </w:rPr>
              <w:t>3</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宋体" w:hAnsi="宋体" w:eastAsia="宋体" w:cstheme="minorEastAsia"/>
                <w:color w:val="000000"/>
                <w:sz w:val="18"/>
                <w:szCs w:val="18"/>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宋体" w:hAnsi="宋体" w:eastAsia="宋体" w:cs="宋体"/>
                <w:kern w:val="0"/>
                <w:sz w:val="18"/>
                <w:szCs w:val="18"/>
              </w:rPr>
            </w:pPr>
            <w:r>
              <w:rPr>
                <w:rFonts w:hint="eastAsia" w:ascii="宋体" w:hAnsi="宋体" w:eastAsia="宋体" w:cs="宋体"/>
                <w:color w:val="000000"/>
                <w:kern w:val="0"/>
                <w:sz w:val="20"/>
                <w:szCs w:val="20"/>
              </w:rPr>
              <w:t>页面请求响应时间（秒）</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宋体"/>
                <w:kern w:val="0"/>
                <w:sz w:val="18"/>
                <w:szCs w:val="18"/>
              </w:rPr>
            </w:pPr>
            <w:r>
              <w:rPr>
                <w:rFonts w:hint="eastAsia" w:ascii="宋体" w:hAnsi="宋体" w:eastAsia="宋体" w:cs="宋体"/>
                <w:color w:val="000000"/>
                <w:kern w:val="0"/>
                <w:sz w:val="20"/>
                <w:szCs w:val="20"/>
              </w:rPr>
              <w:t>≤2</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宋体"/>
                <w:kern w:val="0"/>
                <w:sz w:val="18"/>
                <w:szCs w:val="18"/>
              </w:rPr>
            </w:pPr>
            <w:r>
              <w:rPr>
                <w:rFonts w:hint="eastAsia" w:ascii="宋体" w:hAnsi="宋体" w:eastAsia="宋体" w:cs="宋体"/>
                <w:color w:val="000000"/>
                <w:kern w:val="0"/>
                <w:sz w:val="20"/>
                <w:szCs w:val="20"/>
              </w:rPr>
              <w:t>2</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宋体"/>
                <w:kern w:val="0"/>
                <w:sz w:val="18"/>
                <w:szCs w:val="18"/>
              </w:rPr>
            </w:pPr>
            <w:r>
              <w:rPr>
                <w:rFonts w:hint="eastAsia" w:ascii="宋体" w:hAnsi="宋体" w:eastAsia="宋体" w:cs="宋体"/>
                <w:color w:val="000000"/>
                <w:kern w:val="0"/>
                <w:sz w:val="20"/>
                <w:szCs w:val="20"/>
              </w:rPr>
              <w:t>0.5</w:t>
            </w: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360"/>
              <w:jc w:val="center"/>
              <w:textAlignment w:val="center"/>
              <w:rPr>
                <w:rFonts w:ascii="宋体" w:hAnsi="宋体" w:eastAsia="宋体" w:cstheme="minorEastAsia"/>
                <w:sz w:val="18"/>
                <w:szCs w:val="18"/>
              </w:rPr>
            </w:pPr>
            <w:r>
              <w:rPr>
                <w:rFonts w:hint="eastAsia" w:ascii="宋体" w:hAnsi="宋体" w:eastAsia="宋体" w:cs="宋体"/>
                <w:color w:val="000000"/>
                <w:kern w:val="0"/>
                <w:sz w:val="18"/>
                <w:szCs w:val="18"/>
              </w:rPr>
              <w:t>2</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宋体" w:hAnsi="宋体" w:eastAsia="宋体" w:cstheme="minorEastAsia"/>
                <w:color w:val="000000"/>
                <w:sz w:val="18"/>
                <w:szCs w:val="18"/>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问题解决时间期限（小时）</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≤48</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2</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48</w:t>
            </w: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360"/>
              <w:jc w:val="center"/>
              <w:textAlignment w:val="center"/>
              <w:rPr>
                <w:rFonts w:ascii="宋体" w:hAnsi="宋体" w:eastAsia="宋体" w:cstheme="minorEastAsia"/>
                <w:sz w:val="18"/>
                <w:szCs w:val="18"/>
              </w:rPr>
            </w:pPr>
            <w:r>
              <w:rPr>
                <w:rFonts w:hint="eastAsia" w:ascii="宋体" w:hAnsi="宋体" w:eastAsia="宋体" w:cs="宋体"/>
                <w:color w:val="000000"/>
                <w:kern w:val="0"/>
                <w:sz w:val="18"/>
                <w:szCs w:val="18"/>
              </w:rPr>
              <w:t>2</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宋体" w:hAnsi="宋体" w:eastAsia="宋体" w:cstheme="minorEastAsia"/>
                <w:color w:val="000000"/>
                <w:sz w:val="18"/>
                <w:szCs w:val="18"/>
              </w:rPr>
            </w:pPr>
          </w:p>
        </w:tc>
      </w:tr>
      <w:tr>
        <w:tblPrEx>
          <w:tblLayout w:type="fixed"/>
          <w:tblCellMar>
            <w:top w:w="0" w:type="dxa"/>
            <w:left w:w="0" w:type="dxa"/>
            <w:bottom w:w="0" w:type="dxa"/>
            <w:right w:w="0" w:type="dxa"/>
          </w:tblCellMar>
        </w:tblPrEx>
        <w:trPr>
          <w:trHeight w:val="2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成本指标</w:t>
            </w:r>
          </w:p>
        </w:tc>
        <w:tc>
          <w:tcPr>
            <w:tcW w:w="2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平台服务费（万元）</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≤22</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2</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宋体" w:hAnsi="宋体" w:eastAsia="宋体" w:cstheme="minorEastAsia"/>
                <w:sz w:val="18"/>
                <w:szCs w:val="18"/>
              </w:rPr>
            </w:pPr>
            <w:r>
              <w:rPr>
                <w:rFonts w:hint="eastAsia" w:ascii="宋体" w:hAnsi="宋体" w:eastAsia="宋体" w:cs="宋体"/>
                <w:color w:val="000000"/>
                <w:kern w:val="0"/>
                <w:sz w:val="20"/>
                <w:szCs w:val="20"/>
              </w:rPr>
              <w:t>10</w:t>
            </w: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rFonts w:ascii="宋体" w:hAnsi="宋体" w:eastAsia="宋体" w:cstheme="minorEastAsia"/>
                <w:sz w:val="18"/>
                <w:szCs w:val="18"/>
              </w:rPr>
            </w:pPr>
            <w:r>
              <w:rPr>
                <w:rFonts w:hint="eastAsia" w:ascii="宋体" w:hAnsi="宋体" w:eastAsia="宋体" w:cs="宋体"/>
                <w:color w:val="000000"/>
                <w:kern w:val="0"/>
                <w:sz w:val="18"/>
                <w:szCs w:val="18"/>
              </w:rPr>
              <w:t>0.91</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宋体" w:hAnsi="宋体" w:eastAsia="宋体" w:cstheme="minorEastAsia"/>
                <w:color w:val="000000"/>
                <w:sz w:val="18"/>
                <w:szCs w:val="18"/>
              </w:rPr>
            </w:pPr>
          </w:p>
        </w:tc>
      </w:tr>
      <w:tr>
        <w:tblPrEx>
          <w:tblLayout w:type="fixed"/>
          <w:tblCellMar>
            <w:top w:w="0" w:type="dxa"/>
            <w:left w:w="0" w:type="dxa"/>
            <w:bottom w:w="0" w:type="dxa"/>
            <w:right w:w="0" w:type="dxa"/>
          </w:tblCellMar>
        </w:tblPrEx>
        <w:trPr>
          <w:trHeight w:val="23" w:hRule="atLeast"/>
        </w:trPr>
        <w:tc>
          <w:tcPr>
            <w:tcW w:w="590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30</w:t>
            </w:r>
          </w:p>
        </w:tc>
        <w:tc>
          <w:tcPr>
            <w:tcW w:w="1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27.34</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bl>
    <w:p>
      <w:pPr>
        <w:pStyle w:val="4"/>
        <w:numPr>
          <w:ilvl w:val="0"/>
          <w:numId w:val="5"/>
        </w:numPr>
        <w:ind w:firstLine="643"/>
      </w:pPr>
      <w:r>
        <w:rPr>
          <w:rFonts w:hint="eastAsia"/>
        </w:rPr>
        <w:t>项目效益情况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w:t>
      </w:r>
      <w:r>
        <w:rPr>
          <w:rFonts w:hint="eastAsia"/>
          <w:color w:val="auto"/>
          <w:u w:color="000000"/>
          <w:lang w:val="zh-TW" w:eastAsia="zh-TW"/>
        </w:rPr>
        <w:t>指标由</w:t>
      </w:r>
      <w:r>
        <w:rPr>
          <w:rFonts w:hint="eastAsia"/>
          <w:color w:val="auto"/>
          <w:u w:color="000000"/>
        </w:rPr>
        <w:t>4</w:t>
      </w:r>
      <w:r>
        <w:rPr>
          <w:rFonts w:hint="eastAsia"/>
          <w:color w:val="auto"/>
          <w:u w:color="000000"/>
          <w:lang w:val="zh-TW" w:eastAsia="zh-TW"/>
        </w:rPr>
        <w:t>个</w:t>
      </w:r>
      <w:r>
        <w:rPr>
          <w:rFonts w:hint="eastAsia"/>
          <w:color w:val="auto"/>
          <w:u w:color="000000"/>
          <w:lang w:val="zh-TW"/>
        </w:rPr>
        <w:t>二</w:t>
      </w:r>
      <w:r>
        <w:rPr>
          <w:rFonts w:hint="eastAsia"/>
          <w:color w:val="auto"/>
          <w:u w:color="000000"/>
          <w:lang w:val="zh-TW" w:eastAsia="zh-TW"/>
        </w:rPr>
        <w:t>级指标和</w:t>
      </w:r>
      <w:r>
        <w:rPr>
          <w:rFonts w:hint="eastAsia"/>
          <w:color w:val="auto"/>
          <w:u w:color="000000"/>
        </w:rPr>
        <w:t>5</w:t>
      </w:r>
      <w:r>
        <w:rPr>
          <w:rFonts w:hint="eastAsia"/>
          <w:color w:val="auto"/>
          <w:u w:color="000000"/>
          <w:lang w:val="zh-TW" w:eastAsia="zh-TW"/>
        </w:rPr>
        <w:t>个</w:t>
      </w:r>
      <w:r>
        <w:rPr>
          <w:rFonts w:hint="eastAsia"/>
          <w:color w:val="auto"/>
          <w:u w:color="000000"/>
        </w:rPr>
        <w:t>三</w:t>
      </w:r>
      <w:r>
        <w:rPr>
          <w:rFonts w:hint="eastAsia"/>
          <w:color w:val="auto"/>
          <w:u w:color="000000"/>
          <w:lang w:val="zh-TW" w:eastAsia="zh-TW"/>
        </w:rPr>
        <w:t>级指标构成，权重分</w:t>
      </w:r>
      <w:r>
        <w:rPr>
          <w:rFonts w:hint="eastAsia"/>
          <w:color w:val="auto"/>
          <w:u w:color="000000"/>
        </w:rPr>
        <w:t>30</w:t>
      </w:r>
      <w:r>
        <w:rPr>
          <w:rFonts w:hint="eastAsia"/>
          <w:color w:val="auto"/>
          <w:u w:color="000000"/>
          <w:lang w:val="zh-TW" w:eastAsia="zh-TW"/>
        </w:rPr>
        <w:t>分，实际得分</w:t>
      </w:r>
      <w:r>
        <w:rPr>
          <w:rFonts w:hint="eastAsia"/>
          <w:color w:val="auto"/>
          <w:u w:color="000000"/>
        </w:rPr>
        <w:t>28.5</w:t>
      </w:r>
      <w:r>
        <w:rPr>
          <w:rFonts w:hint="eastAsia"/>
          <w:color w:val="auto"/>
          <w:u w:color="000000"/>
          <w:lang w:val="zh-TW" w:eastAsia="zh-TW"/>
        </w:rPr>
        <w:t>分</w:t>
      </w:r>
      <w:r>
        <w:rPr>
          <w:rFonts w:hint="eastAsia"/>
          <w:color w:val="auto"/>
          <w:u w:color="000000"/>
          <w:lang w:val="zh-TW"/>
        </w:rPr>
        <w:t>，</w:t>
      </w:r>
      <w:r>
        <w:rPr>
          <w:rFonts w:hint="eastAsia"/>
          <w:color w:val="auto"/>
          <w:u w:color="000000"/>
          <w:lang w:val="zh-TW" w:eastAsia="zh-TW"/>
        </w:rPr>
        <w:t>各指标</w:t>
      </w:r>
      <w:r>
        <w:rPr>
          <w:rFonts w:hint="eastAsia"/>
          <w:color w:val="000000"/>
          <w:u w:color="000000"/>
          <w:lang w:val="zh-TW" w:eastAsia="zh-TW"/>
        </w:rPr>
        <w:t>业绩值和绩效分值如表</w:t>
      </w:r>
      <w:r>
        <w:rPr>
          <w:rFonts w:hint="eastAsia"/>
          <w:color w:val="000000"/>
          <w:u w:color="000000"/>
        </w:rPr>
        <w:t>4</w:t>
      </w:r>
      <w:r>
        <w:rPr>
          <w:color w:val="000000"/>
          <w:u w:color="000000"/>
        </w:rPr>
        <w:t>-</w:t>
      </w:r>
      <w:r>
        <w:rPr>
          <w:rFonts w:hint="eastAsia"/>
          <w:color w:val="000000"/>
          <w:u w:color="000000"/>
        </w:rPr>
        <w:t>3</w:t>
      </w:r>
      <w:r>
        <w:rPr>
          <w:rFonts w:hint="eastAsia"/>
          <w:color w:val="000000"/>
          <w:u w:color="000000"/>
          <w:lang w:val="zh-TW" w:eastAsia="zh-TW"/>
        </w:rPr>
        <w:t>所示：</w:t>
      </w:r>
    </w:p>
    <w:p>
      <w:pPr>
        <w:keepNext/>
        <w:keepLines/>
        <w:ind w:firstLine="562"/>
        <w:jc w:val="cente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4-4</w:t>
      </w:r>
      <w:r>
        <w:rPr>
          <w:rFonts w:hint="eastAsia" w:ascii="仿宋_GB2312" w:hAnsi="仿宋_GB2312" w:cs="仿宋_GB2312"/>
          <w:b/>
          <w:bCs/>
        </w:rPr>
        <w:t>项目效益</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6"/>
        <w:tblW w:w="9137" w:type="dxa"/>
        <w:tblInd w:w="0" w:type="dxa"/>
        <w:tblLayout w:type="fixed"/>
        <w:tblCellMar>
          <w:top w:w="0" w:type="dxa"/>
          <w:left w:w="0" w:type="dxa"/>
          <w:bottom w:w="0" w:type="dxa"/>
          <w:right w:w="0" w:type="dxa"/>
        </w:tblCellMar>
      </w:tblPr>
      <w:tblGrid>
        <w:gridCol w:w="838"/>
        <w:gridCol w:w="1116"/>
        <w:gridCol w:w="2898"/>
        <w:gridCol w:w="1367"/>
        <w:gridCol w:w="519"/>
        <w:gridCol w:w="1133"/>
        <w:gridCol w:w="566"/>
        <w:gridCol w:w="700"/>
      </w:tblGrid>
      <w:tr>
        <w:tblPrEx>
          <w:tblLayout w:type="fixed"/>
          <w:tblCellMar>
            <w:top w:w="0" w:type="dxa"/>
            <w:left w:w="0" w:type="dxa"/>
            <w:bottom w:w="0" w:type="dxa"/>
            <w:right w:w="0" w:type="dxa"/>
          </w:tblCellMar>
        </w:tblPrEx>
        <w:trPr>
          <w:trHeight w:val="23" w:hRule="atLeast"/>
        </w:trPr>
        <w:tc>
          <w:tcPr>
            <w:tcW w:w="83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一级指标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二级指标</w:t>
            </w:r>
          </w:p>
        </w:tc>
        <w:tc>
          <w:tcPr>
            <w:tcW w:w="28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三级指标</w:t>
            </w:r>
          </w:p>
        </w:tc>
        <w:tc>
          <w:tcPr>
            <w:tcW w:w="13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年度指标值</w:t>
            </w:r>
          </w:p>
        </w:tc>
        <w:tc>
          <w:tcPr>
            <w:tcW w:w="5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标杆分值</w:t>
            </w:r>
          </w:p>
        </w:tc>
        <w:tc>
          <w:tcPr>
            <w:tcW w:w="11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全年实际完成值</w:t>
            </w:r>
          </w:p>
        </w:tc>
        <w:tc>
          <w:tcPr>
            <w:tcW w:w="56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指标得分</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备注</w:t>
            </w:r>
          </w:p>
        </w:tc>
      </w:tr>
      <w:tr>
        <w:tblPrEx>
          <w:tblLayout w:type="fixed"/>
          <w:tblCellMar>
            <w:top w:w="0" w:type="dxa"/>
            <w:left w:w="0" w:type="dxa"/>
            <w:bottom w:w="0" w:type="dxa"/>
            <w:right w:w="0" w:type="dxa"/>
          </w:tblCellMar>
        </w:tblPrEx>
        <w:trPr>
          <w:trHeight w:val="23" w:hRule="atLeast"/>
        </w:trPr>
        <w:tc>
          <w:tcPr>
            <w:tcW w:w="838" w:type="dxa"/>
            <w:vMerge w:val="restart"/>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效益</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社会效益指标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政府采购效率提高情况</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有效提高</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公共服务水平提高情况</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有效提高</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可持续影响指标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系统综合利用率（%）</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≥95%</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100%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保证政府采购制度化、规范化、透明化</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长期</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满意度指标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采购单位满意度（%）</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≥90%</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100%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6"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预算单位满意度（%）</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≥90%</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rFonts w:asciiTheme="minorEastAsia" w:hAnsiTheme="minorEastAsia" w:eastAsiaTheme="minorEastAsia" w:cstheme="minorEastAsia"/>
                <w:color w:val="000000"/>
                <w:sz w:val="24"/>
              </w:rPr>
            </w:pPr>
            <w:r>
              <w:rPr>
                <w:rFonts w:hint="eastAsia" w:ascii="宋体" w:hAnsi="宋体" w:eastAsia="宋体" w:cs="宋体"/>
                <w:color w:val="000000"/>
                <w:kern w:val="0"/>
                <w:sz w:val="20"/>
                <w:szCs w:val="20"/>
              </w:rPr>
              <w:t>100%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Layout w:type="fixed"/>
          <w:tblCellMar>
            <w:top w:w="0" w:type="dxa"/>
            <w:left w:w="0" w:type="dxa"/>
            <w:bottom w:w="0" w:type="dxa"/>
            <w:right w:w="0" w:type="dxa"/>
          </w:tblCellMar>
        </w:tblPrEx>
        <w:trPr>
          <w:trHeight w:val="23" w:hRule="atLeast"/>
        </w:trPr>
        <w:tc>
          <w:tcPr>
            <w:tcW w:w="621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28.5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bl>
    <w:p>
      <w:pPr>
        <w:pStyle w:val="3"/>
        <w:ind w:firstLine="640"/>
      </w:pPr>
      <w:r>
        <w:rPr>
          <w:rFonts w:hint="eastAsia"/>
        </w:rPr>
        <w:t>五、主要经验及做法、存在的问题及原因分析</w:t>
      </w:r>
    </w:p>
    <w:p>
      <w:pPr>
        <w:pStyle w:val="4"/>
        <w:numPr>
          <w:ilvl w:val="0"/>
          <w:numId w:val="7"/>
        </w:numPr>
        <w:ind w:firstLine="643"/>
      </w:pPr>
      <w:bookmarkStart w:id="12" w:name="_Toc28290"/>
      <w:bookmarkStart w:id="13" w:name="_Toc1921"/>
      <w:r>
        <w:rPr>
          <w:rFonts w:hint="eastAsia"/>
        </w:rPr>
        <w:t>主要经验及做法</w:t>
      </w:r>
    </w:p>
    <w:p>
      <w:pPr>
        <w:tabs>
          <w:tab w:val="left" w:pos="1337"/>
        </w:tabs>
        <w:ind w:firstLine="560"/>
      </w:pPr>
      <w:r>
        <w:rPr>
          <w:rFonts w:hint="eastAsia"/>
        </w:rPr>
        <w:t>为进一步提高政府采购效率、创新政府采购模式，按照自治区财政厅统一部署，和田地区拟于2019年6月上线“政采云”平台。各预算单位通过政采云平台实施网上超市、协议供货、定点服务、在线询价、反向竞价等电子卖场政府采购活动，使政府采购更加规范、透明、高效。该平台以政府采购电子化交易和管理为重点，涉及政府采购各领域、全流程、多用户，集政府采购网上交易、监管和服务为一体的政府采购公共服务平台。</w:t>
      </w:r>
    </w:p>
    <w:bookmarkEnd w:id="12"/>
    <w:bookmarkEnd w:id="13"/>
    <w:p>
      <w:pPr>
        <w:pStyle w:val="4"/>
        <w:numPr>
          <w:ilvl w:val="0"/>
          <w:numId w:val="7"/>
        </w:numPr>
        <w:ind w:firstLine="643"/>
      </w:pPr>
      <w:r>
        <w:rPr>
          <w:rFonts w:hint="eastAsia"/>
        </w:rPr>
        <w:t>存在的问题及原因分析</w:t>
      </w:r>
    </w:p>
    <w:p>
      <w:pPr>
        <w:spacing w:line="600" w:lineRule="exact"/>
        <w:ind w:firstLine="544"/>
        <w:rPr>
          <w:rFonts w:ascii="黑体" w:hAnsi="黑体"/>
          <w:color w:val="auto"/>
        </w:rPr>
      </w:pPr>
      <w:r>
        <w:rPr>
          <w:rFonts w:hint="eastAsia"/>
          <w:color w:val="auto"/>
          <w:spacing w:val="-4"/>
          <w:szCs w:val="32"/>
        </w:rPr>
        <w:t>由于预算编制不科学，致使本次支出金额与预算金额差距较大。在今后工作中，我们将进一步细化工作流程，严格工作程序，加强预算管理，确保预算编制规范化、精细化。</w:t>
      </w:r>
    </w:p>
    <w:p>
      <w:pPr>
        <w:pStyle w:val="3"/>
        <w:ind w:firstLine="640"/>
      </w:pPr>
      <w:r>
        <w:rPr>
          <w:rFonts w:hint="eastAsia"/>
        </w:rPr>
        <w:t>六、有关建议</w:t>
      </w:r>
    </w:p>
    <w:p>
      <w:pPr>
        <w:tabs>
          <w:tab w:val="left" w:pos="1337"/>
        </w:tabs>
        <w:ind w:firstLine="560"/>
      </w:pPr>
      <w:r>
        <w:rPr>
          <w:rFonts w:hint="eastAsia"/>
        </w:rPr>
        <w:t>和田地区“政采云”平台拟于2019年6月正式上线。在实际操作过程中，我们将继续加强对各预算单位的培训，同时加大供应商招募征集力度、增加网上超市商品类目，有效发挥政采云平台的使用效率。</w:t>
      </w:r>
    </w:p>
    <w:p>
      <w:pPr>
        <w:ind w:firstLine="560"/>
      </w:pPr>
      <w:r>
        <w:rPr>
          <w:rFonts w:hint="eastAsia"/>
        </w:rPr>
        <w:t>七、其他需要说明的问题</w:t>
      </w:r>
    </w:p>
    <w:p>
      <w:pPr>
        <w:ind w:firstLine="544"/>
      </w:pPr>
      <w:r>
        <w:rPr>
          <w:rFonts w:hint="eastAsia"/>
          <w:color w:val="auto"/>
          <w:spacing w:val="-4"/>
          <w:szCs w:val="32"/>
        </w:rPr>
        <w:t>无其他说明内容。</w:t>
      </w:r>
      <w:bookmarkStart w:id="14" w:name="_GoBack"/>
      <w:bookmarkEnd w:id="14"/>
    </w:p>
    <w:sectPr>
      <w:footerReference r:id="rId9" w:type="default"/>
      <w:pgSz w:w="16838" w:h="11906" w:orient="landscape"/>
      <w:pgMar w:top="1531" w:right="1928" w:bottom="1531" w:left="170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5637710"/>
    <w:multiLevelType w:val="singleLevel"/>
    <w:tmpl w:val="D5637710"/>
    <w:lvl w:ilvl="0" w:tentative="0">
      <w:start w:val="2"/>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8291A1A"/>
    <w:rsid w:val="00003978"/>
    <w:rsid w:val="003667F7"/>
    <w:rsid w:val="003F77FB"/>
    <w:rsid w:val="00630A54"/>
    <w:rsid w:val="0075294E"/>
    <w:rsid w:val="009B3A71"/>
    <w:rsid w:val="009B5A6C"/>
    <w:rsid w:val="009B5CF5"/>
    <w:rsid w:val="009B605B"/>
    <w:rsid w:val="00A93B3C"/>
    <w:rsid w:val="00CA6B96"/>
    <w:rsid w:val="00D266B9"/>
    <w:rsid w:val="00DB4683"/>
    <w:rsid w:val="00DC29C8"/>
    <w:rsid w:val="00FC23DE"/>
    <w:rsid w:val="017D6F43"/>
    <w:rsid w:val="01A707D5"/>
    <w:rsid w:val="023452FF"/>
    <w:rsid w:val="025279DA"/>
    <w:rsid w:val="028570C2"/>
    <w:rsid w:val="02992DF8"/>
    <w:rsid w:val="030062F7"/>
    <w:rsid w:val="03141560"/>
    <w:rsid w:val="031E4648"/>
    <w:rsid w:val="032C1D9D"/>
    <w:rsid w:val="03637534"/>
    <w:rsid w:val="036C5252"/>
    <w:rsid w:val="037D77F1"/>
    <w:rsid w:val="03810ED7"/>
    <w:rsid w:val="038751EB"/>
    <w:rsid w:val="03884D17"/>
    <w:rsid w:val="03A25F9B"/>
    <w:rsid w:val="03A91A64"/>
    <w:rsid w:val="03E179D0"/>
    <w:rsid w:val="040027EB"/>
    <w:rsid w:val="040200D8"/>
    <w:rsid w:val="04057F7A"/>
    <w:rsid w:val="04062C29"/>
    <w:rsid w:val="042B3C71"/>
    <w:rsid w:val="045027BE"/>
    <w:rsid w:val="04695F1F"/>
    <w:rsid w:val="047C31F6"/>
    <w:rsid w:val="04867457"/>
    <w:rsid w:val="048F6046"/>
    <w:rsid w:val="04CF1FF7"/>
    <w:rsid w:val="05153909"/>
    <w:rsid w:val="051D6A82"/>
    <w:rsid w:val="054913ED"/>
    <w:rsid w:val="055841E2"/>
    <w:rsid w:val="056A43FA"/>
    <w:rsid w:val="056C1236"/>
    <w:rsid w:val="059E5B36"/>
    <w:rsid w:val="05CF5BD5"/>
    <w:rsid w:val="05D73B17"/>
    <w:rsid w:val="05DA13BB"/>
    <w:rsid w:val="05F0356B"/>
    <w:rsid w:val="06270C29"/>
    <w:rsid w:val="064C1558"/>
    <w:rsid w:val="0655125B"/>
    <w:rsid w:val="06645942"/>
    <w:rsid w:val="068821EA"/>
    <w:rsid w:val="06886F25"/>
    <w:rsid w:val="068F3323"/>
    <w:rsid w:val="069103F0"/>
    <w:rsid w:val="069420FA"/>
    <w:rsid w:val="069C4441"/>
    <w:rsid w:val="06D653EF"/>
    <w:rsid w:val="06F3764A"/>
    <w:rsid w:val="06FB76C6"/>
    <w:rsid w:val="070B2EE1"/>
    <w:rsid w:val="070D017A"/>
    <w:rsid w:val="076518B7"/>
    <w:rsid w:val="0770608B"/>
    <w:rsid w:val="078125E1"/>
    <w:rsid w:val="07B65E89"/>
    <w:rsid w:val="07C14B22"/>
    <w:rsid w:val="07F06DFA"/>
    <w:rsid w:val="07F20F24"/>
    <w:rsid w:val="07F27065"/>
    <w:rsid w:val="07F448B3"/>
    <w:rsid w:val="08097D0A"/>
    <w:rsid w:val="081548A8"/>
    <w:rsid w:val="08563964"/>
    <w:rsid w:val="08713159"/>
    <w:rsid w:val="08764572"/>
    <w:rsid w:val="08806455"/>
    <w:rsid w:val="088250F4"/>
    <w:rsid w:val="088E09F8"/>
    <w:rsid w:val="0891293B"/>
    <w:rsid w:val="089920EC"/>
    <w:rsid w:val="08E159ED"/>
    <w:rsid w:val="08EF54F6"/>
    <w:rsid w:val="0910697A"/>
    <w:rsid w:val="091D6628"/>
    <w:rsid w:val="094F2B08"/>
    <w:rsid w:val="096D6378"/>
    <w:rsid w:val="09766582"/>
    <w:rsid w:val="09875CAD"/>
    <w:rsid w:val="098C01EE"/>
    <w:rsid w:val="099830ED"/>
    <w:rsid w:val="099C6D3E"/>
    <w:rsid w:val="09DC3916"/>
    <w:rsid w:val="0A536030"/>
    <w:rsid w:val="0A5F2C8A"/>
    <w:rsid w:val="0A9F67B0"/>
    <w:rsid w:val="0AB071AA"/>
    <w:rsid w:val="0AD84D4F"/>
    <w:rsid w:val="0AE00F96"/>
    <w:rsid w:val="0AEF34B8"/>
    <w:rsid w:val="0AF129F4"/>
    <w:rsid w:val="0B0D1886"/>
    <w:rsid w:val="0B327FA5"/>
    <w:rsid w:val="0B3552A8"/>
    <w:rsid w:val="0B401E99"/>
    <w:rsid w:val="0B4F4CB2"/>
    <w:rsid w:val="0B677A6C"/>
    <w:rsid w:val="0B703469"/>
    <w:rsid w:val="0BAD7201"/>
    <w:rsid w:val="0BB1041E"/>
    <w:rsid w:val="0BDD3B06"/>
    <w:rsid w:val="0BE86B4F"/>
    <w:rsid w:val="0C010152"/>
    <w:rsid w:val="0C0554C5"/>
    <w:rsid w:val="0C214067"/>
    <w:rsid w:val="0CD82BEF"/>
    <w:rsid w:val="0CE57393"/>
    <w:rsid w:val="0D0F42C3"/>
    <w:rsid w:val="0D120323"/>
    <w:rsid w:val="0D140392"/>
    <w:rsid w:val="0D1D3615"/>
    <w:rsid w:val="0D1E29D4"/>
    <w:rsid w:val="0D4F4C44"/>
    <w:rsid w:val="0D5B615D"/>
    <w:rsid w:val="0DD32A4A"/>
    <w:rsid w:val="0E1E3FEF"/>
    <w:rsid w:val="0E3426B2"/>
    <w:rsid w:val="0E362B19"/>
    <w:rsid w:val="0E4B4F49"/>
    <w:rsid w:val="0E4B5C4E"/>
    <w:rsid w:val="0E6A7C28"/>
    <w:rsid w:val="0EAD162B"/>
    <w:rsid w:val="0EC81E7F"/>
    <w:rsid w:val="0EFA3443"/>
    <w:rsid w:val="0F245403"/>
    <w:rsid w:val="0F325D32"/>
    <w:rsid w:val="0F5709BC"/>
    <w:rsid w:val="0F5E44EA"/>
    <w:rsid w:val="0F6D06DC"/>
    <w:rsid w:val="0F9A3111"/>
    <w:rsid w:val="0F9E3CF5"/>
    <w:rsid w:val="0FC90E80"/>
    <w:rsid w:val="0FD32E85"/>
    <w:rsid w:val="0FF62C78"/>
    <w:rsid w:val="10190959"/>
    <w:rsid w:val="10505F82"/>
    <w:rsid w:val="106B4130"/>
    <w:rsid w:val="10764C1D"/>
    <w:rsid w:val="10AD0D5F"/>
    <w:rsid w:val="110407BE"/>
    <w:rsid w:val="110946EC"/>
    <w:rsid w:val="111416F3"/>
    <w:rsid w:val="112856B2"/>
    <w:rsid w:val="114A64CD"/>
    <w:rsid w:val="11893FE0"/>
    <w:rsid w:val="11C546F6"/>
    <w:rsid w:val="120F1926"/>
    <w:rsid w:val="123943C3"/>
    <w:rsid w:val="1255073C"/>
    <w:rsid w:val="12576C3B"/>
    <w:rsid w:val="126647A1"/>
    <w:rsid w:val="12B06ED6"/>
    <w:rsid w:val="12DF0A14"/>
    <w:rsid w:val="12F1313F"/>
    <w:rsid w:val="1307468E"/>
    <w:rsid w:val="130971FF"/>
    <w:rsid w:val="130A63EC"/>
    <w:rsid w:val="130B73AB"/>
    <w:rsid w:val="13162BF4"/>
    <w:rsid w:val="13203E26"/>
    <w:rsid w:val="134D57A7"/>
    <w:rsid w:val="13620E29"/>
    <w:rsid w:val="13A03CC6"/>
    <w:rsid w:val="13A84214"/>
    <w:rsid w:val="13BA4E99"/>
    <w:rsid w:val="13BF1158"/>
    <w:rsid w:val="13EF033C"/>
    <w:rsid w:val="13FE6712"/>
    <w:rsid w:val="140F32AB"/>
    <w:rsid w:val="14194D4B"/>
    <w:rsid w:val="14325168"/>
    <w:rsid w:val="14325FD7"/>
    <w:rsid w:val="147A432B"/>
    <w:rsid w:val="147B1B4A"/>
    <w:rsid w:val="14915A72"/>
    <w:rsid w:val="149F301E"/>
    <w:rsid w:val="14A7766E"/>
    <w:rsid w:val="14D2034A"/>
    <w:rsid w:val="14D77D2F"/>
    <w:rsid w:val="150924CD"/>
    <w:rsid w:val="15305D28"/>
    <w:rsid w:val="156363B1"/>
    <w:rsid w:val="15750B1E"/>
    <w:rsid w:val="15845CB2"/>
    <w:rsid w:val="1595267F"/>
    <w:rsid w:val="15D82053"/>
    <w:rsid w:val="15DE70A7"/>
    <w:rsid w:val="15ED65A4"/>
    <w:rsid w:val="162D12F4"/>
    <w:rsid w:val="163476B9"/>
    <w:rsid w:val="165248A3"/>
    <w:rsid w:val="16AA5119"/>
    <w:rsid w:val="1731568F"/>
    <w:rsid w:val="17763375"/>
    <w:rsid w:val="179D729C"/>
    <w:rsid w:val="179E2A07"/>
    <w:rsid w:val="17BC24BF"/>
    <w:rsid w:val="17C66977"/>
    <w:rsid w:val="17CC395C"/>
    <w:rsid w:val="18036A0F"/>
    <w:rsid w:val="180545CD"/>
    <w:rsid w:val="181F5C05"/>
    <w:rsid w:val="183A6F28"/>
    <w:rsid w:val="184053ED"/>
    <w:rsid w:val="189730A4"/>
    <w:rsid w:val="18AA688C"/>
    <w:rsid w:val="18EA4A6A"/>
    <w:rsid w:val="18FE06D2"/>
    <w:rsid w:val="194E14A4"/>
    <w:rsid w:val="19514648"/>
    <w:rsid w:val="1957664E"/>
    <w:rsid w:val="195C3FC6"/>
    <w:rsid w:val="196B4B2A"/>
    <w:rsid w:val="198571A2"/>
    <w:rsid w:val="19A41496"/>
    <w:rsid w:val="19BD47D0"/>
    <w:rsid w:val="19EB6F5E"/>
    <w:rsid w:val="1A2E4274"/>
    <w:rsid w:val="1A390736"/>
    <w:rsid w:val="1A3F601C"/>
    <w:rsid w:val="1A546318"/>
    <w:rsid w:val="1A717379"/>
    <w:rsid w:val="1A7331E1"/>
    <w:rsid w:val="1AA35FCB"/>
    <w:rsid w:val="1AB0472B"/>
    <w:rsid w:val="1AF34812"/>
    <w:rsid w:val="1AFD3CC1"/>
    <w:rsid w:val="1B0B0A96"/>
    <w:rsid w:val="1B135102"/>
    <w:rsid w:val="1B245691"/>
    <w:rsid w:val="1B636585"/>
    <w:rsid w:val="1B775745"/>
    <w:rsid w:val="1B94221F"/>
    <w:rsid w:val="1BBC1A11"/>
    <w:rsid w:val="1BBD5FD5"/>
    <w:rsid w:val="1BC56403"/>
    <w:rsid w:val="1BD82A87"/>
    <w:rsid w:val="1C0633B8"/>
    <w:rsid w:val="1C480A1A"/>
    <w:rsid w:val="1C65092F"/>
    <w:rsid w:val="1C677DBD"/>
    <w:rsid w:val="1C7F456A"/>
    <w:rsid w:val="1C8A6ED1"/>
    <w:rsid w:val="1CBC2EB5"/>
    <w:rsid w:val="1CC623B6"/>
    <w:rsid w:val="1CC87459"/>
    <w:rsid w:val="1CFD6900"/>
    <w:rsid w:val="1D17280F"/>
    <w:rsid w:val="1D5F65C1"/>
    <w:rsid w:val="1D7B5F14"/>
    <w:rsid w:val="1D827C6B"/>
    <w:rsid w:val="1DA82C44"/>
    <w:rsid w:val="1DCE0150"/>
    <w:rsid w:val="1DDF29C3"/>
    <w:rsid w:val="1E3903E0"/>
    <w:rsid w:val="1E4937AB"/>
    <w:rsid w:val="1E683691"/>
    <w:rsid w:val="1E7B554F"/>
    <w:rsid w:val="1E7C77AF"/>
    <w:rsid w:val="1E9D4DAD"/>
    <w:rsid w:val="1EC40A62"/>
    <w:rsid w:val="1ECF144A"/>
    <w:rsid w:val="1ED41EE1"/>
    <w:rsid w:val="1EED7D4C"/>
    <w:rsid w:val="1EF85314"/>
    <w:rsid w:val="1F032740"/>
    <w:rsid w:val="1F100744"/>
    <w:rsid w:val="1F177B34"/>
    <w:rsid w:val="1F3D7B56"/>
    <w:rsid w:val="1F3F3958"/>
    <w:rsid w:val="1F5564A6"/>
    <w:rsid w:val="1F6F577A"/>
    <w:rsid w:val="1F962674"/>
    <w:rsid w:val="1F96597C"/>
    <w:rsid w:val="1FCD6E4B"/>
    <w:rsid w:val="20071835"/>
    <w:rsid w:val="20216B43"/>
    <w:rsid w:val="202F6286"/>
    <w:rsid w:val="20925FE6"/>
    <w:rsid w:val="20BA4819"/>
    <w:rsid w:val="20D35C7C"/>
    <w:rsid w:val="20DE4C54"/>
    <w:rsid w:val="20F50363"/>
    <w:rsid w:val="210C4D65"/>
    <w:rsid w:val="2112757A"/>
    <w:rsid w:val="21165419"/>
    <w:rsid w:val="217B792F"/>
    <w:rsid w:val="21816490"/>
    <w:rsid w:val="21922BB6"/>
    <w:rsid w:val="21B633BA"/>
    <w:rsid w:val="21CD2920"/>
    <w:rsid w:val="21D002CE"/>
    <w:rsid w:val="22073546"/>
    <w:rsid w:val="220B1FCE"/>
    <w:rsid w:val="22204709"/>
    <w:rsid w:val="2250125F"/>
    <w:rsid w:val="22587CDD"/>
    <w:rsid w:val="227A2348"/>
    <w:rsid w:val="22AA525C"/>
    <w:rsid w:val="22C72039"/>
    <w:rsid w:val="22F2592D"/>
    <w:rsid w:val="22FC7873"/>
    <w:rsid w:val="23137801"/>
    <w:rsid w:val="235A5631"/>
    <w:rsid w:val="23633D09"/>
    <w:rsid w:val="238B3558"/>
    <w:rsid w:val="239A4AE3"/>
    <w:rsid w:val="23BD0488"/>
    <w:rsid w:val="23FF021A"/>
    <w:rsid w:val="23FF1135"/>
    <w:rsid w:val="2418000D"/>
    <w:rsid w:val="24222F03"/>
    <w:rsid w:val="245E1E24"/>
    <w:rsid w:val="246409E8"/>
    <w:rsid w:val="248E44E8"/>
    <w:rsid w:val="24923F02"/>
    <w:rsid w:val="24C12D80"/>
    <w:rsid w:val="24D93120"/>
    <w:rsid w:val="253007DB"/>
    <w:rsid w:val="253853DC"/>
    <w:rsid w:val="25582B70"/>
    <w:rsid w:val="257E66A1"/>
    <w:rsid w:val="257E701B"/>
    <w:rsid w:val="2598798F"/>
    <w:rsid w:val="25A5381A"/>
    <w:rsid w:val="25BF45FB"/>
    <w:rsid w:val="261B3792"/>
    <w:rsid w:val="262D0413"/>
    <w:rsid w:val="263A49C1"/>
    <w:rsid w:val="26485D93"/>
    <w:rsid w:val="267C2FCD"/>
    <w:rsid w:val="268D4392"/>
    <w:rsid w:val="26A0678E"/>
    <w:rsid w:val="26A25F9C"/>
    <w:rsid w:val="26D04591"/>
    <w:rsid w:val="26DD7A63"/>
    <w:rsid w:val="2709690B"/>
    <w:rsid w:val="270F1E2C"/>
    <w:rsid w:val="271B096D"/>
    <w:rsid w:val="27255BCE"/>
    <w:rsid w:val="272756C0"/>
    <w:rsid w:val="272902CE"/>
    <w:rsid w:val="274A7983"/>
    <w:rsid w:val="274D3D3A"/>
    <w:rsid w:val="279635EC"/>
    <w:rsid w:val="27987E5B"/>
    <w:rsid w:val="27D77E64"/>
    <w:rsid w:val="27FB4ABE"/>
    <w:rsid w:val="28006A90"/>
    <w:rsid w:val="286A2D66"/>
    <w:rsid w:val="286C62EE"/>
    <w:rsid w:val="289B0882"/>
    <w:rsid w:val="289F47BF"/>
    <w:rsid w:val="28BE227B"/>
    <w:rsid w:val="29013764"/>
    <w:rsid w:val="29032CBC"/>
    <w:rsid w:val="2908163B"/>
    <w:rsid w:val="2957146F"/>
    <w:rsid w:val="29D4647D"/>
    <w:rsid w:val="2A5476C6"/>
    <w:rsid w:val="2A5A5D6C"/>
    <w:rsid w:val="2A5F3471"/>
    <w:rsid w:val="2A631669"/>
    <w:rsid w:val="2AA4247C"/>
    <w:rsid w:val="2AB50DB9"/>
    <w:rsid w:val="2AC32078"/>
    <w:rsid w:val="2ACF6824"/>
    <w:rsid w:val="2ACF7161"/>
    <w:rsid w:val="2ADD722A"/>
    <w:rsid w:val="2AF11FDB"/>
    <w:rsid w:val="2B48164C"/>
    <w:rsid w:val="2B792CF6"/>
    <w:rsid w:val="2B9F16A1"/>
    <w:rsid w:val="2BDA4B67"/>
    <w:rsid w:val="2BEA60A7"/>
    <w:rsid w:val="2BEC117C"/>
    <w:rsid w:val="2C004408"/>
    <w:rsid w:val="2C050547"/>
    <w:rsid w:val="2C103347"/>
    <w:rsid w:val="2C1E76D6"/>
    <w:rsid w:val="2C29797F"/>
    <w:rsid w:val="2C5071FD"/>
    <w:rsid w:val="2C760E18"/>
    <w:rsid w:val="2C9A3C32"/>
    <w:rsid w:val="2CBA11AB"/>
    <w:rsid w:val="2D042FDD"/>
    <w:rsid w:val="2D143355"/>
    <w:rsid w:val="2D5B42E5"/>
    <w:rsid w:val="2D832FC1"/>
    <w:rsid w:val="2D957CEB"/>
    <w:rsid w:val="2DB46219"/>
    <w:rsid w:val="2DC537F3"/>
    <w:rsid w:val="2DDB161F"/>
    <w:rsid w:val="2DDE323B"/>
    <w:rsid w:val="2DE1411C"/>
    <w:rsid w:val="2DE5598E"/>
    <w:rsid w:val="2DEF5EFC"/>
    <w:rsid w:val="2E004BD9"/>
    <w:rsid w:val="2E3A6F48"/>
    <w:rsid w:val="2E483E7E"/>
    <w:rsid w:val="2E4F12BB"/>
    <w:rsid w:val="2E8551B3"/>
    <w:rsid w:val="2EA91C7B"/>
    <w:rsid w:val="2EAE6312"/>
    <w:rsid w:val="2EBE065B"/>
    <w:rsid w:val="2ED66BD4"/>
    <w:rsid w:val="2ED90552"/>
    <w:rsid w:val="2EE512B5"/>
    <w:rsid w:val="2EF745E0"/>
    <w:rsid w:val="2F0850C3"/>
    <w:rsid w:val="2F1966F2"/>
    <w:rsid w:val="2F245F9D"/>
    <w:rsid w:val="2F6912D4"/>
    <w:rsid w:val="301C4A20"/>
    <w:rsid w:val="3045599F"/>
    <w:rsid w:val="307E10D7"/>
    <w:rsid w:val="30C37D58"/>
    <w:rsid w:val="30EF60FC"/>
    <w:rsid w:val="30FB377A"/>
    <w:rsid w:val="31410DA3"/>
    <w:rsid w:val="31452696"/>
    <w:rsid w:val="315C691C"/>
    <w:rsid w:val="31715FC3"/>
    <w:rsid w:val="31890D15"/>
    <w:rsid w:val="31A6635F"/>
    <w:rsid w:val="31AA2B5F"/>
    <w:rsid w:val="31C72156"/>
    <w:rsid w:val="31EA0B59"/>
    <w:rsid w:val="31EB26E8"/>
    <w:rsid w:val="31EB30F3"/>
    <w:rsid w:val="31EB4ABD"/>
    <w:rsid w:val="321A7F78"/>
    <w:rsid w:val="32302645"/>
    <w:rsid w:val="32581080"/>
    <w:rsid w:val="326C13A3"/>
    <w:rsid w:val="3273621D"/>
    <w:rsid w:val="32825C98"/>
    <w:rsid w:val="32A6666A"/>
    <w:rsid w:val="32F46CB3"/>
    <w:rsid w:val="330D1C10"/>
    <w:rsid w:val="332F7DDD"/>
    <w:rsid w:val="33387DB7"/>
    <w:rsid w:val="334B06CA"/>
    <w:rsid w:val="335D5722"/>
    <w:rsid w:val="335E129E"/>
    <w:rsid w:val="3361632B"/>
    <w:rsid w:val="3385787B"/>
    <w:rsid w:val="33944516"/>
    <w:rsid w:val="33A70411"/>
    <w:rsid w:val="33A725E9"/>
    <w:rsid w:val="33B8306A"/>
    <w:rsid w:val="33C42462"/>
    <w:rsid w:val="33D8075D"/>
    <w:rsid w:val="342C52C2"/>
    <w:rsid w:val="343E6666"/>
    <w:rsid w:val="34A45F95"/>
    <w:rsid w:val="34B10970"/>
    <w:rsid w:val="34BF0440"/>
    <w:rsid w:val="35217F2F"/>
    <w:rsid w:val="353155B1"/>
    <w:rsid w:val="356A1683"/>
    <w:rsid w:val="359D559A"/>
    <w:rsid w:val="35BF75F1"/>
    <w:rsid w:val="360359E1"/>
    <w:rsid w:val="36185B49"/>
    <w:rsid w:val="36316256"/>
    <w:rsid w:val="36953D05"/>
    <w:rsid w:val="36BB210E"/>
    <w:rsid w:val="36C81752"/>
    <w:rsid w:val="36D811BF"/>
    <w:rsid w:val="36E310A3"/>
    <w:rsid w:val="36ED76ED"/>
    <w:rsid w:val="36FD47C9"/>
    <w:rsid w:val="3730726F"/>
    <w:rsid w:val="3747457E"/>
    <w:rsid w:val="377E20F4"/>
    <w:rsid w:val="37A73452"/>
    <w:rsid w:val="37CA5D78"/>
    <w:rsid w:val="380C52F1"/>
    <w:rsid w:val="38195F4A"/>
    <w:rsid w:val="38495424"/>
    <w:rsid w:val="38577F19"/>
    <w:rsid w:val="38BC5D37"/>
    <w:rsid w:val="38C02BA5"/>
    <w:rsid w:val="38CB0977"/>
    <w:rsid w:val="38E6765E"/>
    <w:rsid w:val="38E854D0"/>
    <w:rsid w:val="39205648"/>
    <w:rsid w:val="39523AD2"/>
    <w:rsid w:val="3964605C"/>
    <w:rsid w:val="39F4277F"/>
    <w:rsid w:val="39F63BCA"/>
    <w:rsid w:val="3A095768"/>
    <w:rsid w:val="3A0D0ADC"/>
    <w:rsid w:val="3A1E0D94"/>
    <w:rsid w:val="3A3D5F04"/>
    <w:rsid w:val="3A4814E3"/>
    <w:rsid w:val="3AC57D01"/>
    <w:rsid w:val="3ACA4076"/>
    <w:rsid w:val="3AEA4483"/>
    <w:rsid w:val="3AEE7451"/>
    <w:rsid w:val="3AFE5229"/>
    <w:rsid w:val="3B006AAC"/>
    <w:rsid w:val="3B264BCB"/>
    <w:rsid w:val="3B375479"/>
    <w:rsid w:val="3B3B6386"/>
    <w:rsid w:val="3B4010BD"/>
    <w:rsid w:val="3B712865"/>
    <w:rsid w:val="3B892CFA"/>
    <w:rsid w:val="3B925273"/>
    <w:rsid w:val="3BC61856"/>
    <w:rsid w:val="3BC66292"/>
    <w:rsid w:val="3BCA1A16"/>
    <w:rsid w:val="3BD40730"/>
    <w:rsid w:val="3BDD3D40"/>
    <w:rsid w:val="3C2A232C"/>
    <w:rsid w:val="3C321603"/>
    <w:rsid w:val="3C4E394F"/>
    <w:rsid w:val="3C993440"/>
    <w:rsid w:val="3CAE2C5D"/>
    <w:rsid w:val="3CD94656"/>
    <w:rsid w:val="3D4E29B5"/>
    <w:rsid w:val="3D6A507B"/>
    <w:rsid w:val="3D86240F"/>
    <w:rsid w:val="3DAC3BA5"/>
    <w:rsid w:val="3E196BC7"/>
    <w:rsid w:val="3E361755"/>
    <w:rsid w:val="3E5F3F2C"/>
    <w:rsid w:val="3E6560FB"/>
    <w:rsid w:val="3E6E4CF3"/>
    <w:rsid w:val="3E886BF5"/>
    <w:rsid w:val="3EAF2779"/>
    <w:rsid w:val="3ED14309"/>
    <w:rsid w:val="3EEC337B"/>
    <w:rsid w:val="3F0616D2"/>
    <w:rsid w:val="3F191EA1"/>
    <w:rsid w:val="3F2053F0"/>
    <w:rsid w:val="3F270325"/>
    <w:rsid w:val="3F463CB7"/>
    <w:rsid w:val="3F4869B0"/>
    <w:rsid w:val="3F6B5216"/>
    <w:rsid w:val="3F72564A"/>
    <w:rsid w:val="3F964D41"/>
    <w:rsid w:val="3F9C502E"/>
    <w:rsid w:val="3FA24CA3"/>
    <w:rsid w:val="3FD86BBB"/>
    <w:rsid w:val="401673DC"/>
    <w:rsid w:val="40207FA2"/>
    <w:rsid w:val="402215EA"/>
    <w:rsid w:val="405C4C64"/>
    <w:rsid w:val="40657392"/>
    <w:rsid w:val="406B256E"/>
    <w:rsid w:val="40770F9B"/>
    <w:rsid w:val="40867A62"/>
    <w:rsid w:val="4094178F"/>
    <w:rsid w:val="409A12A4"/>
    <w:rsid w:val="40CD67E0"/>
    <w:rsid w:val="40DF67CB"/>
    <w:rsid w:val="40F4187A"/>
    <w:rsid w:val="41373E38"/>
    <w:rsid w:val="414C6587"/>
    <w:rsid w:val="41E61174"/>
    <w:rsid w:val="42474919"/>
    <w:rsid w:val="42A03A58"/>
    <w:rsid w:val="42AC0CB7"/>
    <w:rsid w:val="42B06143"/>
    <w:rsid w:val="42BB3B89"/>
    <w:rsid w:val="42D8476E"/>
    <w:rsid w:val="42F26DF8"/>
    <w:rsid w:val="42FE3854"/>
    <w:rsid w:val="431C0554"/>
    <w:rsid w:val="43430EBA"/>
    <w:rsid w:val="434C1613"/>
    <w:rsid w:val="435C4E50"/>
    <w:rsid w:val="4403450C"/>
    <w:rsid w:val="44053C4F"/>
    <w:rsid w:val="44710C08"/>
    <w:rsid w:val="44727D84"/>
    <w:rsid w:val="44872DAD"/>
    <w:rsid w:val="44AA1D4B"/>
    <w:rsid w:val="44B87DDF"/>
    <w:rsid w:val="44BD23C3"/>
    <w:rsid w:val="44E569CC"/>
    <w:rsid w:val="453140D4"/>
    <w:rsid w:val="45437431"/>
    <w:rsid w:val="457651E1"/>
    <w:rsid w:val="458C03D3"/>
    <w:rsid w:val="45B937FC"/>
    <w:rsid w:val="45CE3A5E"/>
    <w:rsid w:val="45FE5F78"/>
    <w:rsid w:val="461D02C9"/>
    <w:rsid w:val="461F48F4"/>
    <w:rsid w:val="463962B8"/>
    <w:rsid w:val="46417F7A"/>
    <w:rsid w:val="46432A7D"/>
    <w:rsid w:val="466C40D7"/>
    <w:rsid w:val="4682412C"/>
    <w:rsid w:val="468A6DE4"/>
    <w:rsid w:val="46AB4DCC"/>
    <w:rsid w:val="46DB788A"/>
    <w:rsid w:val="4772036E"/>
    <w:rsid w:val="47E5134D"/>
    <w:rsid w:val="47F60D05"/>
    <w:rsid w:val="481C74F5"/>
    <w:rsid w:val="4879134B"/>
    <w:rsid w:val="48CA50FF"/>
    <w:rsid w:val="48CB01CE"/>
    <w:rsid w:val="48E414A7"/>
    <w:rsid w:val="48F12286"/>
    <w:rsid w:val="491B4157"/>
    <w:rsid w:val="492D58FE"/>
    <w:rsid w:val="49D1495B"/>
    <w:rsid w:val="49D214A3"/>
    <w:rsid w:val="4A1E1826"/>
    <w:rsid w:val="4A396878"/>
    <w:rsid w:val="4A401A4B"/>
    <w:rsid w:val="4A4937E6"/>
    <w:rsid w:val="4A7F086D"/>
    <w:rsid w:val="4A8A5802"/>
    <w:rsid w:val="4AA64318"/>
    <w:rsid w:val="4AB650CB"/>
    <w:rsid w:val="4AC21A1C"/>
    <w:rsid w:val="4ACC574F"/>
    <w:rsid w:val="4ACE0B51"/>
    <w:rsid w:val="4AD02593"/>
    <w:rsid w:val="4AE474A5"/>
    <w:rsid w:val="4B0E0F15"/>
    <w:rsid w:val="4B1A3A39"/>
    <w:rsid w:val="4B1B6541"/>
    <w:rsid w:val="4B2E64CB"/>
    <w:rsid w:val="4B7E799C"/>
    <w:rsid w:val="4B93674B"/>
    <w:rsid w:val="4BBF501C"/>
    <w:rsid w:val="4BBF51C4"/>
    <w:rsid w:val="4C7531BE"/>
    <w:rsid w:val="4C780C72"/>
    <w:rsid w:val="4CA050E7"/>
    <w:rsid w:val="4CA47CED"/>
    <w:rsid w:val="4CD116F8"/>
    <w:rsid w:val="4D047D80"/>
    <w:rsid w:val="4D173352"/>
    <w:rsid w:val="4D286F49"/>
    <w:rsid w:val="4D2F0416"/>
    <w:rsid w:val="4D536FA5"/>
    <w:rsid w:val="4D5C32CD"/>
    <w:rsid w:val="4D6E7EA7"/>
    <w:rsid w:val="4D7D715E"/>
    <w:rsid w:val="4D876976"/>
    <w:rsid w:val="4DA53BE3"/>
    <w:rsid w:val="4E04356A"/>
    <w:rsid w:val="4E057178"/>
    <w:rsid w:val="4E510D00"/>
    <w:rsid w:val="4E6C21CD"/>
    <w:rsid w:val="4E6E2FA3"/>
    <w:rsid w:val="4EA76056"/>
    <w:rsid w:val="4EB24F46"/>
    <w:rsid w:val="4ECD01E7"/>
    <w:rsid w:val="4F6D63B8"/>
    <w:rsid w:val="4F733A2D"/>
    <w:rsid w:val="4FAE5549"/>
    <w:rsid w:val="50110926"/>
    <w:rsid w:val="50261A9A"/>
    <w:rsid w:val="50405973"/>
    <w:rsid w:val="50622D85"/>
    <w:rsid w:val="507E6441"/>
    <w:rsid w:val="50A82039"/>
    <w:rsid w:val="50AF7463"/>
    <w:rsid w:val="50B17A9A"/>
    <w:rsid w:val="510D463E"/>
    <w:rsid w:val="511D6A87"/>
    <w:rsid w:val="512A6E68"/>
    <w:rsid w:val="515866D7"/>
    <w:rsid w:val="51597CA1"/>
    <w:rsid w:val="515D230F"/>
    <w:rsid w:val="515F13ED"/>
    <w:rsid w:val="5197674C"/>
    <w:rsid w:val="52133A79"/>
    <w:rsid w:val="527F3925"/>
    <w:rsid w:val="52A9150B"/>
    <w:rsid w:val="52B87696"/>
    <w:rsid w:val="52CD05CB"/>
    <w:rsid w:val="52F15FED"/>
    <w:rsid w:val="532B01F1"/>
    <w:rsid w:val="532B608C"/>
    <w:rsid w:val="53384716"/>
    <w:rsid w:val="536A46FC"/>
    <w:rsid w:val="536E5E54"/>
    <w:rsid w:val="53B42682"/>
    <w:rsid w:val="53D50290"/>
    <w:rsid w:val="53EC2825"/>
    <w:rsid w:val="5442466C"/>
    <w:rsid w:val="544A370F"/>
    <w:rsid w:val="544C43D0"/>
    <w:rsid w:val="55545FFB"/>
    <w:rsid w:val="556221DF"/>
    <w:rsid w:val="55745C6E"/>
    <w:rsid w:val="55C03599"/>
    <w:rsid w:val="55F22F3D"/>
    <w:rsid w:val="55F533B8"/>
    <w:rsid w:val="56053987"/>
    <w:rsid w:val="561143EB"/>
    <w:rsid w:val="561F38DE"/>
    <w:rsid w:val="564008A6"/>
    <w:rsid w:val="568E3CA1"/>
    <w:rsid w:val="56922E5D"/>
    <w:rsid w:val="569A1D03"/>
    <w:rsid w:val="56B23796"/>
    <w:rsid w:val="56C2322D"/>
    <w:rsid w:val="573902D5"/>
    <w:rsid w:val="57AC1D08"/>
    <w:rsid w:val="57B34B09"/>
    <w:rsid w:val="57BC7EA0"/>
    <w:rsid w:val="57F51FBE"/>
    <w:rsid w:val="58A14B3F"/>
    <w:rsid w:val="58EC5923"/>
    <w:rsid w:val="58F948C0"/>
    <w:rsid w:val="590A7EAF"/>
    <w:rsid w:val="593878CF"/>
    <w:rsid w:val="59463456"/>
    <w:rsid w:val="594B678F"/>
    <w:rsid w:val="59696E61"/>
    <w:rsid w:val="59856CF4"/>
    <w:rsid w:val="59F46466"/>
    <w:rsid w:val="59FB73D6"/>
    <w:rsid w:val="59FC4EBA"/>
    <w:rsid w:val="5AAD08DA"/>
    <w:rsid w:val="5ACF6251"/>
    <w:rsid w:val="5AEC7FAC"/>
    <w:rsid w:val="5AF118DB"/>
    <w:rsid w:val="5AF67A13"/>
    <w:rsid w:val="5B6E7738"/>
    <w:rsid w:val="5BAA461A"/>
    <w:rsid w:val="5BCE2525"/>
    <w:rsid w:val="5BFD732C"/>
    <w:rsid w:val="5C033DF5"/>
    <w:rsid w:val="5C1230D4"/>
    <w:rsid w:val="5CAE4758"/>
    <w:rsid w:val="5CB427A4"/>
    <w:rsid w:val="5CB752FB"/>
    <w:rsid w:val="5CC21118"/>
    <w:rsid w:val="5D8367A6"/>
    <w:rsid w:val="5D841E96"/>
    <w:rsid w:val="5D87634F"/>
    <w:rsid w:val="5D9E6ADE"/>
    <w:rsid w:val="5DC36597"/>
    <w:rsid w:val="5DF6061A"/>
    <w:rsid w:val="5DFE6191"/>
    <w:rsid w:val="5E017CF2"/>
    <w:rsid w:val="5E253F30"/>
    <w:rsid w:val="5E575ED0"/>
    <w:rsid w:val="5E597E55"/>
    <w:rsid w:val="5E8B66B9"/>
    <w:rsid w:val="5ED13F09"/>
    <w:rsid w:val="5EDB0C3B"/>
    <w:rsid w:val="5EDD2629"/>
    <w:rsid w:val="5EE227AD"/>
    <w:rsid w:val="5F205A8E"/>
    <w:rsid w:val="5F352A37"/>
    <w:rsid w:val="5F5D16B7"/>
    <w:rsid w:val="5F757265"/>
    <w:rsid w:val="5FBC0148"/>
    <w:rsid w:val="5FC175FD"/>
    <w:rsid w:val="60064594"/>
    <w:rsid w:val="6020510A"/>
    <w:rsid w:val="604F7D1E"/>
    <w:rsid w:val="60746E9A"/>
    <w:rsid w:val="60937F5E"/>
    <w:rsid w:val="609D2C1D"/>
    <w:rsid w:val="60BB6194"/>
    <w:rsid w:val="610B3DE9"/>
    <w:rsid w:val="611E4740"/>
    <w:rsid w:val="615E0A49"/>
    <w:rsid w:val="61A50953"/>
    <w:rsid w:val="61B55D9B"/>
    <w:rsid w:val="61BA1907"/>
    <w:rsid w:val="61DC5B83"/>
    <w:rsid w:val="61E118B5"/>
    <w:rsid w:val="61EA3381"/>
    <w:rsid w:val="62367471"/>
    <w:rsid w:val="624E1649"/>
    <w:rsid w:val="62942C33"/>
    <w:rsid w:val="629E3335"/>
    <w:rsid w:val="62A508A1"/>
    <w:rsid w:val="62C94CD9"/>
    <w:rsid w:val="62CB242A"/>
    <w:rsid w:val="62F044A6"/>
    <w:rsid w:val="63127738"/>
    <w:rsid w:val="6335469C"/>
    <w:rsid w:val="63475CA3"/>
    <w:rsid w:val="636D1879"/>
    <w:rsid w:val="63776E12"/>
    <w:rsid w:val="638C2713"/>
    <w:rsid w:val="6391009B"/>
    <w:rsid w:val="63B562E2"/>
    <w:rsid w:val="63BA6BE8"/>
    <w:rsid w:val="63EC2AB9"/>
    <w:rsid w:val="640B55F7"/>
    <w:rsid w:val="6411460C"/>
    <w:rsid w:val="642B4807"/>
    <w:rsid w:val="64626D24"/>
    <w:rsid w:val="64922ACB"/>
    <w:rsid w:val="64BD1B40"/>
    <w:rsid w:val="64DA2838"/>
    <w:rsid w:val="64DA753C"/>
    <w:rsid w:val="64E864F9"/>
    <w:rsid w:val="650F7390"/>
    <w:rsid w:val="6527055E"/>
    <w:rsid w:val="652C4A3E"/>
    <w:rsid w:val="65313986"/>
    <w:rsid w:val="65382555"/>
    <w:rsid w:val="655272A3"/>
    <w:rsid w:val="65624598"/>
    <w:rsid w:val="65AC3DF1"/>
    <w:rsid w:val="65AD4A56"/>
    <w:rsid w:val="65FA0D0A"/>
    <w:rsid w:val="65FC5E63"/>
    <w:rsid w:val="6619498C"/>
    <w:rsid w:val="66496829"/>
    <w:rsid w:val="666C2C43"/>
    <w:rsid w:val="66DF18B7"/>
    <w:rsid w:val="66EA5041"/>
    <w:rsid w:val="66EB7126"/>
    <w:rsid w:val="67172106"/>
    <w:rsid w:val="67474276"/>
    <w:rsid w:val="674D07FB"/>
    <w:rsid w:val="675460C5"/>
    <w:rsid w:val="675C7435"/>
    <w:rsid w:val="67824051"/>
    <w:rsid w:val="679006D3"/>
    <w:rsid w:val="67972FEF"/>
    <w:rsid w:val="67E564B7"/>
    <w:rsid w:val="67EC0D32"/>
    <w:rsid w:val="67F06B61"/>
    <w:rsid w:val="67F86012"/>
    <w:rsid w:val="68115B6F"/>
    <w:rsid w:val="68291A1A"/>
    <w:rsid w:val="68470D92"/>
    <w:rsid w:val="68506C0D"/>
    <w:rsid w:val="688A6751"/>
    <w:rsid w:val="688E5312"/>
    <w:rsid w:val="68F4392B"/>
    <w:rsid w:val="690D1B71"/>
    <w:rsid w:val="69187E50"/>
    <w:rsid w:val="691B1594"/>
    <w:rsid w:val="69620AD0"/>
    <w:rsid w:val="697B7E6B"/>
    <w:rsid w:val="69A1694F"/>
    <w:rsid w:val="69E22E51"/>
    <w:rsid w:val="6A047020"/>
    <w:rsid w:val="6A182A0A"/>
    <w:rsid w:val="6A2A7D66"/>
    <w:rsid w:val="6A8512B9"/>
    <w:rsid w:val="6A8640B4"/>
    <w:rsid w:val="6AA05087"/>
    <w:rsid w:val="6ACD26E8"/>
    <w:rsid w:val="6AFD1107"/>
    <w:rsid w:val="6B072348"/>
    <w:rsid w:val="6B0F3383"/>
    <w:rsid w:val="6B3002CE"/>
    <w:rsid w:val="6B577228"/>
    <w:rsid w:val="6B894B8F"/>
    <w:rsid w:val="6BA4285E"/>
    <w:rsid w:val="6BDD1AEA"/>
    <w:rsid w:val="6C501837"/>
    <w:rsid w:val="6C7B74D9"/>
    <w:rsid w:val="6CB07E8E"/>
    <w:rsid w:val="6D17784C"/>
    <w:rsid w:val="6D4C6190"/>
    <w:rsid w:val="6D4E1071"/>
    <w:rsid w:val="6D4F75DB"/>
    <w:rsid w:val="6D513596"/>
    <w:rsid w:val="6D547474"/>
    <w:rsid w:val="6D6B1199"/>
    <w:rsid w:val="6D6D5006"/>
    <w:rsid w:val="6D6D5EB2"/>
    <w:rsid w:val="6D801CD7"/>
    <w:rsid w:val="6D83065F"/>
    <w:rsid w:val="6DED2E37"/>
    <w:rsid w:val="6DF162AF"/>
    <w:rsid w:val="6DFA6087"/>
    <w:rsid w:val="6E13416D"/>
    <w:rsid w:val="6E3C4735"/>
    <w:rsid w:val="6E8D5923"/>
    <w:rsid w:val="6E997816"/>
    <w:rsid w:val="6EA86140"/>
    <w:rsid w:val="6EEE057B"/>
    <w:rsid w:val="6EF245F6"/>
    <w:rsid w:val="6F075B8D"/>
    <w:rsid w:val="6F0D6C22"/>
    <w:rsid w:val="6F3766E4"/>
    <w:rsid w:val="6F467203"/>
    <w:rsid w:val="6F6C236F"/>
    <w:rsid w:val="6F6D07C5"/>
    <w:rsid w:val="6F8058D6"/>
    <w:rsid w:val="6FC226DC"/>
    <w:rsid w:val="6FF5476C"/>
    <w:rsid w:val="70157825"/>
    <w:rsid w:val="70320CC0"/>
    <w:rsid w:val="704A76C0"/>
    <w:rsid w:val="704B52D5"/>
    <w:rsid w:val="706D0E25"/>
    <w:rsid w:val="709A1F8B"/>
    <w:rsid w:val="71232072"/>
    <w:rsid w:val="712E0FC5"/>
    <w:rsid w:val="71411B4B"/>
    <w:rsid w:val="714407DF"/>
    <w:rsid w:val="71467102"/>
    <w:rsid w:val="71645647"/>
    <w:rsid w:val="717165A6"/>
    <w:rsid w:val="7197009B"/>
    <w:rsid w:val="719B4223"/>
    <w:rsid w:val="71A94637"/>
    <w:rsid w:val="71B90D27"/>
    <w:rsid w:val="722A2675"/>
    <w:rsid w:val="72672647"/>
    <w:rsid w:val="728B6505"/>
    <w:rsid w:val="72913F3E"/>
    <w:rsid w:val="72A35DA1"/>
    <w:rsid w:val="72CE7315"/>
    <w:rsid w:val="72D44A62"/>
    <w:rsid w:val="72DB39A0"/>
    <w:rsid w:val="72DD4184"/>
    <w:rsid w:val="72E612EB"/>
    <w:rsid w:val="73050484"/>
    <w:rsid w:val="73051FAE"/>
    <w:rsid w:val="7306762C"/>
    <w:rsid w:val="73130E33"/>
    <w:rsid w:val="732178E6"/>
    <w:rsid w:val="73516683"/>
    <w:rsid w:val="7359672C"/>
    <w:rsid w:val="73967E3F"/>
    <w:rsid w:val="73985B7B"/>
    <w:rsid w:val="739D250B"/>
    <w:rsid w:val="73A66A18"/>
    <w:rsid w:val="73BA372B"/>
    <w:rsid w:val="73EA6B04"/>
    <w:rsid w:val="73F04CC3"/>
    <w:rsid w:val="73F636CE"/>
    <w:rsid w:val="7409202D"/>
    <w:rsid w:val="741B1F94"/>
    <w:rsid w:val="7422404D"/>
    <w:rsid w:val="742F1503"/>
    <w:rsid w:val="743537DB"/>
    <w:rsid w:val="7452709D"/>
    <w:rsid w:val="74581349"/>
    <w:rsid w:val="745F571C"/>
    <w:rsid w:val="748D63E9"/>
    <w:rsid w:val="74954E54"/>
    <w:rsid w:val="749D30C7"/>
    <w:rsid w:val="74A73D6E"/>
    <w:rsid w:val="74D772CD"/>
    <w:rsid w:val="74FD0FB8"/>
    <w:rsid w:val="753B0E01"/>
    <w:rsid w:val="75495595"/>
    <w:rsid w:val="757F703B"/>
    <w:rsid w:val="75910C5B"/>
    <w:rsid w:val="75A22FB2"/>
    <w:rsid w:val="75B34BB4"/>
    <w:rsid w:val="75C97BF5"/>
    <w:rsid w:val="75CD73FE"/>
    <w:rsid w:val="75F5657C"/>
    <w:rsid w:val="76077CE9"/>
    <w:rsid w:val="7638023A"/>
    <w:rsid w:val="76560C1A"/>
    <w:rsid w:val="765950FA"/>
    <w:rsid w:val="765C77A5"/>
    <w:rsid w:val="766F11DE"/>
    <w:rsid w:val="76903564"/>
    <w:rsid w:val="7697699B"/>
    <w:rsid w:val="76CC58EB"/>
    <w:rsid w:val="76CE3127"/>
    <w:rsid w:val="76D2301A"/>
    <w:rsid w:val="77272BB7"/>
    <w:rsid w:val="77297C4E"/>
    <w:rsid w:val="77696951"/>
    <w:rsid w:val="776A54D6"/>
    <w:rsid w:val="77861774"/>
    <w:rsid w:val="778A36A4"/>
    <w:rsid w:val="77B7230B"/>
    <w:rsid w:val="77E00893"/>
    <w:rsid w:val="78035836"/>
    <w:rsid w:val="78142FBD"/>
    <w:rsid w:val="78164FFC"/>
    <w:rsid w:val="783F495B"/>
    <w:rsid w:val="784E4533"/>
    <w:rsid w:val="7885087E"/>
    <w:rsid w:val="78985A60"/>
    <w:rsid w:val="78A539E5"/>
    <w:rsid w:val="78AA266B"/>
    <w:rsid w:val="78AC5C69"/>
    <w:rsid w:val="78B35330"/>
    <w:rsid w:val="78D45E26"/>
    <w:rsid w:val="78D92DC2"/>
    <w:rsid w:val="78E13CDE"/>
    <w:rsid w:val="79300B45"/>
    <w:rsid w:val="79373244"/>
    <w:rsid w:val="79455EB5"/>
    <w:rsid w:val="796224D5"/>
    <w:rsid w:val="797909D4"/>
    <w:rsid w:val="797B55BF"/>
    <w:rsid w:val="79A17504"/>
    <w:rsid w:val="79D64302"/>
    <w:rsid w:val="79D65CFD"/>
    <w:rsid w:val="79F86DE0"/>
    <w:rsid w:val="7A0D26BE"/>
    <w:rsid w:val="7A17071E"/>
    <w:rsid w:val="7A2F07CF"/>
    <w:rsid w:val="7A367DC4"/>
    <w:rsid w:val="7A3B6C82"/>
    <w:rsid w:val="7A440EF6"/>
    <w:rsid w:val="7A4A0E51"/>
    <w:rsid w:val="7A4B2FEB"/>
    <w:rsid w:val="7A580759"/>
    <w:rsid w:val="7A626A0B"/>
    <w:rsid w:val="7A6367EF"/>
    <w:rsid w:val="7A6D5896"/>
    <w:rsid w:val="7A7473CB"/>
    <w:rsid w:val="7A9E436D"/>
    <w:rsid w:val="7AD20678"/>
    <w:rsid w:val="7B114608"/>
    <w:rsid w:val="7B1714A2"/>
    <w:rsid w:val="7B884569"/>
    <w:rsid w:val="7B9C45EB"/>
    <w:rsid w:val="7BA45004"/>
    <w:rsid w:val="7BAC7DD0"/>
    <w:rsid w:val="7BB12466"/>
    <w:rsid w:val="7BFA35EE"/>
    <w:rsid w:val="7BFD0082"/>
    <w:rsid w:val="7C11519D"/>
    <w:rsid w:val="7C354F03"/>
    <w:rsid w:val="7C4513D8"/>
    <w:rsid w:val="7C734D03"/>
    <w:rsid w:val="7C8B75CC"/>
    <w:rsid w:val="7C9C5EF5"/>
    <w:rsid w:val="7CB82B14"/>
    <w:rsid w:val="7CF8758A"/>
    <w:rsid w:val="7D262E98"/>
    <w:rsid w:val="7D46476A"/>
    <w:rsid w:val="7D48285A"/>
    <w:rsid w:val="7D5B2A69"/>
    <w:rsid w:val="7D9F38EA"/>
    <w:rsid w:val="7DAE20D3"/>
    <w:rsid w:val="7DBA569E"/>
    <w:rsid w:val="7DF5109C"/>
    <w:rsid w:val="7E0F6019"/>
    <w:rsid w:val="7E303DF9"/>
    <w:rsid w:val="7E354538"/>
    <w:rsid w:val="7E5B410B"/>
    <w:rsid w:val="7E5D465F"/>
    <w:rsid w:val="7E617414"/>
    <w:rsid w:val="7E6C01B6"/>
    <w:rsid w:val="7EB629DC"/>
    <w:rsid w:val="7EBD06E2"/>
    <w:rsid w:val="7EBE6ECF"/>
    <w:rsid w:val="7EC4710D"/>
    <w:rsid w:val="7EE95EA7"/>
    <w:rsid w:val="7EFB444B"/>
    <w:rsid w:val="7EFC3DDB"/>
    <w:rsid w:val="7F411D23"/>
    <w:rsid w:val="7F521B37"/>
    <w:rsid w:val="7F52399A"/>
    <w:rsid w:val="7F6E6524"/>
    <w:rsid w:val="7F730E60"/>
    <w:rsid w:val="7F8C7C63"/>
    <w:rsid w:val="7FAD1791"/>
    <w:rsid w:val="7FCC2EA3"/>
    <w:rsid w:val="7FE24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1">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22"/>
    <w:qFormat/>
    <w:uiPriority w:val="0"/>
    <w:rPr>
      <w:b/>
      <w:bCs/>
    </w:rPr>
  </w:style>
  <w:style w:type="paragraph" w:styleId="6">
    <w:name w:val="annotation text"/>
    <w:basedOn w:val="1"/>
    <w:link w:val="21"/>
    <w:qFormat/>
    <w:uiPriority w:val="0"/>
    <w:pPr>
      <w:jc w:val="left"/>
    </w:pPr>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0"/>
    <w:pPr>
      <w:jc w:val="left"/>
    </w:pPr>
    <w:rPr>
      <w:kern w:val="0"/>
      <w:sz w:val="24"/>
    </w:rPr>
  </w:style>
  <w:style w:type="character" w:styleId="12">
    <w:name w:val="Strong"/>
    <w:basedOn w:val="11"/>
    <w:qFormat/>
    <w:uiPriority w:val="0"/>
    <w:rPr>
      <w:b/>
    </w:rPr>
  </w:style>
  <w:style w:type="character" w:styleId="13">
    <w:name w:val="FollowedHyperlink"/>
    <w:basedOn w:val="11"/>
    <w:qFormat/>
    <w:uiPriority w:val="0"/>
    <w:rPr>
      <w:color w:val="3D3D3D"/>
      <w:u w:val="none"/>
    </w:rPr>
  </w:style>
  <w:style w:type="character" w:styleId="14">
    <w:name w:val="Hyperlink"/>
    <w:basedOn w:val="11"/>
    <w:qFormat/>
    <w:uiPriority w:val="0"/>
    <w:rPr>
      <w:color w:val="3D3D3D"/>
      <w:u w:val="none"/>
    </w:rPr>
  </w:style>
  <w:style w:type="character" w:styleId="15">
    <w:name w:val="annotation reference"/>
    <w:basedOn w:val="11"/>
    <w:qFormat/>
    <w:uiPriority w:val="0"/>
    <w:rPr>
      <w:sz w:val="21"/>
      <w:szCs w:val="21"/>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批注框文本 Char"/>
    <w:basedOn w:val="11"/>
    <w:link w:val="7"/>
    <w:qFormat/>
    <w:uiPriority w:val="0"/>
    <w:rPr>
      <w:rFonts w:eastAsia="仿宋_GB2312"/>
      <w:kern w:val="2"/>
      <w:sz w:val="18"/>
      <w:szCs w:val="18"/>
    </w:rPr>
  </w:style>
  <w:style w:type="character" w:customStyle="1" w:styleId="21">
    <w:name w:val="批注文字 Char"/>
    <w:basedOn w:val="11"/>
    <w:link w:val="6"/>
    <w:qFormat/>
    <w:uiPriority w:val="0"/>
    <w:rPr>
      <w:rFonts w:eastAsia="仿宋_GB2312"/>
      <w:kern w:val="2"/>
      <w:sz w:val="28"/>
      <w:szCs w:val="24"/>
    </w:rPr>
  </w:style>
  <w:style w:type="character" w:customStyle="1" w:styleId="22">
    <w:name w:val="批注主题 Char"/>
    <w:basedOn w:val="21"/>
    <w:link w:val="5"/>
    <w:qFormat/>
    <w:uiPriority w:val="0"/>
    <w:rPr>
      <w:rFonts w:eastAsia="仿宋_GB2312"/>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E9877E-C873-4507-8D57-64E7F37ABD8D}">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23</Pages>
  <Words>1761</Words>
  <Characters>10039</Characters>
  <Lines>83</Lines>
  <Paragraphs>23</Paragraphs>
  <TotalTime>16</TotalTime>
  <ScaleCrop>false</ScaleCrop>
  <LinksUpToDate>false</LinksUpToDate>
  <CharactersWithSpaces>11777</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cp:lastPrinted>2020-05-29T04:56:00Z</cp:lastPrinted>
  <dcterms:modified xsi:type="dcterms:W3CDTF">2020-10-15T08:03:38Z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