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rPr>
        <w:t>公务费项目支出绩效评价报告</w:t>
      </w: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uto"/>
        <w:jc w:val="center"/>
        <w:rPr>
          <w:rFonts w:ascii="宋体" w:hAnsi="宋体" w:eastAsia="宋体" w:cs="Arial"/>
          <w:b/>
          <w:bCs/>
          <w:sz w:val="36"/>
          <w:szCs w:val="36"/>
        </w:rPr>
      </w:pPr>
    </w:p>
    <w:p>
      <w:pPr>
        <w:spacing w:line="360" w:lineRule="auto"/>
        <w:ind w:firstLine="602"/>
        <w:rPr>
          <w:rFonts w:ascii="黑体" w:eastAsia="黑体"/>
          <w:b/>
          <w:color w:val="000000"/>
          <w:sz w:val="30"/>
          <w:szCs w:val="30"/>
        </w:rPr>
      </w:pPr>
      <w:r>
        <w:rPr>
          <w:rFonts w:hint="eastAsia" w:ascii="黑体" w:eastAsia="黑体"/>
          <w:b/>
          <w:color w:val="000000"/>
          <w:sz w:val="30"/>
          <w:szCs w:val="30"/>
        </w:rPr>
        <w:t>项目名称：公务费项目</w:t>
      </w:r>
    </w:p>
    <w:p>
      <w:pPr>
        <w:spacing w:line="360" w:lineRule="auto"/>
        <w:ind w:firstLine="602"/>
        <w:rPr>
          <w:rFonts w:ascii="黑体" w:eastAsia="黑体"/>
          <w:b/>
          <w:color w:val="000000"/>
          <w:sz w:val="30"/>
          <w:szCs w:val="30"/>
        </w:rPr>
      </w:pPr>
      <w:r>
        <w:rPr>
          <w:rFonts w:hint="eastAsia" w:ascii="黑体" w:eastAsia="黑体"/>
          <w:b/>
          <w:color w:val="000000"/>
          <w:sz w:val="30"/>
          <w:szCs w:val="30"/>
        </w:rPr>
        <w:t>实施单位：和田地区文体活动中心</w:t>
      </w:r>
    </w:p>
    <w:p>
      <w:pPr>
        <w:spacing w:line="360" w:lineRule="auto"/>
        <w:ind w:firstLine="602"/>
        <w:rPr>
          <w:rFonts w:ascii="黑体" w:eastAsia="黑体"/>
          <w:b/>
          <w:color w:val="000000"/>
          <w:sz w:val="30"/>
          <w:szCs w:val="30"/>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b/>
          <w:color w:val="000000"/>
          <w:sz w:val="30"/>
          <w:szCs w:val="30"/>
        </w:rPr>
        <w:t>主管部门：</w:t>
      </w:r>
      <w:r>
        <w:rPr>
          <w:rFonts w:ascii="黑体" w:eastAsia="黑体"/>
          <w:b/>
          <w:color w:val="000000"/>
          <w:sz w:val="30"/>
          <w:szCs w:val="30"/>
        </w:rPr>
        <w:t>和田地区文化体育广播影视局</w:t>
      </w: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rPr>
        <w:t>公务费项目支出绩效评价报告</w:t>
      </w:r>
    </w:p>
    <w:p>
      <w:pPr>
        <w:pStyle w:val="3"/>
        <w:ind w:firstLine="640"/>
      </w:pPr>
      <w:r>
        <w:rPr>
          <w:rFonts w:hint="eastAsia"/>
        </w:rPr>
        <w:t>一、基本情况</w:t>
      </w:r>
    </w:p>
    <w:p>
      <w:pPr>
        <w:pStyle w:val="4"/>
        <w:ind w:firstLine="643"/>
      </w:pPr>
      <w:r>
        <w:rPr>
          <w:rFonts w:hint="eastAsia"/>
        </w:rPr>
        <w:t>（一）项目概况</w:t>
      </w:r>
    </w:p>
    <w:p>
      <w:pPr>
        <w:pStyle w:val="2"/>
        <w:ind w:firstLine="562"/>
      </w:pPr>
      <w:r>
        <w:rPr>
          <w:rFonts w:hint="eastAsia"/>
        </w:rPr>
        <w:t>1.项目背景</w:t>
      </w:r>
    </w:p>
    <w:p>
      <w:pPr>
        <w:ind w:firstLine="560"/>
        <w:rPr>
          <w:rFonts w:ascii="仿宋" w:hAnsi="仿宋" w:eastAsia="仿宋"/>
        </w:rPr>
      </w:pPr>
      <w:r>
        <w:rPr>
          <w:rFonts w:hint="eastAsia" w:ascii="仿宋" w:hAnsi="仿宋" w:eastAsia="仿宋"/>
        </w:rPr>
        <w:t>和田地区文体活动中心由于单位人员少，经费严重不足，在我单位再三申请下，给予解决了3.20万元的办公费,我单位通过财政授权支付方式,购买了水、电、办公支出等，现3.20万元已全部列支完毕，有了水电，单位能正常运转，保证了单位的日常活动的有序进行。</w:t>
      </w:r>
    </w:p>
    <w:p>
      <w:pPr>
        <w:pStyle w:val="2"/>
        <w:ind w:firstLine="562"/>
      </w:pPr>
      <w:r>
        <w:rPr>
          <w:rFonts w:hint="eastAsia"/>
        </w:rPr>
        <w:t>2.项目实施主体</w:t>
      </w:r>
    </w:p>
    <w:p>
      <w:pPr>
        <w:ind w:firstLine="560"/>
        <w:rPr>
          <w:rFonts w:ascii="仿宋" w:hAnsi="仿宋" w:eastAsia="仿宋"/>
        </w:rPr>
      </w:pPr>
      <w:r>
        <w:rPr>
          <w:rFonts w:hint="eastAsia" w:ascii="仿宋" w:hAnsi="仿宋" w:eastAsia="仿宋"/>
        </w:rPr>
        <w:t>和田地区文化体育活动中心是和田地区全额拨款的事业单位</w:t>
      </w:r>
      <w:r>
        <w:rPr>
          <w:rFonts w:ascii="仿宋" w:hAnsi="仿宋" w:eastAsia="仿宋"/>
        </w:rPr>
        <w:t>，本中心履行的职能是组织群众文化活动，繁荣群众文化事业，文化宣传，文体活动组织，作好中心的图书馆、篮球场，青少年活动中心保障管理工作（相关服务）。其主管单位是和田地区文化体育广播影视局。</w:t>
      </w:r>
      <w:r>
        <w:rPr>
          <w:rFonts w:hint="eastAsia" w:ascii="仿宋" w:hAnsi="仿宋" w:eastAsia="仿宋"/>
        </w:rPr>
        <w:t xml:space="preserve"> </w:t>
      </w:r>
    </w:p>
    <w:p>
      <w:pPr>
        <w:pStyle w:val="2"/>
        <w:ind w:firstLine="562"/>
      </w:pPr>
      <w:r>
        <w:rPr>
          <w:rFonts w:hint="eastAsia"/>
        </w:rPr>
        <w:t>3.项目组织结构</w:t>
      </w:r>
    </w:p>
    <w:p>
      <w:pPr>
        <w:ind w:firstLine="560"/>
        <w:rPr>
          <w:rFonts w:ascii="仿宋" w:hAnsi="仿宋" w:eastAsia="仿宋"/>
        </w:rPr>
      </w:pPr>
      <w:r>
        <w:rPr>
          <w:rFonts w:hint="eastAsia" w:ascii="仿宋" w:hAnsi="仿宋" w:eastAsia="仿宋"/>
        </w:rPr>
        <w:t>为确保我单位该项目的顺利实施，我单位成立项目实施小组</w:t>
      </w:r>
      <w:bookmarkStart w:id="14" w:name="_GoBack"/>
      <w:bookmarkEnd w:id="14"/>
      <w:r>
        <w:rPr>
          <w:rFonts w:hint="eastAsia" w:ascii="仿宋" w:hAnsi="仿宋" w:eastAsia="仿宋"/>
        </w:rPr>
        <w:t>。</w:t>
      </w:r>
    </w:p>
    <w:p>
      <w:pPr>
        <w:pStyle w:val="2"/>
        <w:ind w:firstLine="562"/>
      </w:pPr>
      <w:r>
        <w:rPr>
          <w:rFonts w:hint="eastAsia"/>
        </w:rPr>
        <w:t>4.主要内容及实施情况</w:t>
      </w:r>
    </w:p>
    <w:p>
      <w:pPr>
        <w:ind w:firstLine="560"/>
        <w:rPr>
          <w:rFonts w:ascii="仿宋" w:hAnsi="仿宋" w:eastAsia="仿宋"/>
        </w:rPr>
      </w:pPr>
      <w:r>
        <w:rPr>
          <w:rFonts w:hint="eastAsia" w:ascii="仿宋" w:hAnsi="仿宋" w:eastAsia="仿宋"/>
        </w:rPr>
        <w:t>和田地区文体活动中心业务费主要用于支付水、电、办公费，到2019年年底款按年初预计的业务已完成，达到了预期的目的。</w:t>
      </w:r>
    </w:p>
    <w:p>
      <w:pPr>
        <w:pStyle w:val="2"/>
        <w:ind w:firstLine="562"/>
      </w:pPr>
      <w:r>
        <w:rPr>
          <w:rFonts w:hint="eastAsia"/>
        </w:rPr>
        <w:t>5.资金投入和使用情况</w:t>
      </w:r>
    </w:p>
    <w:p>
      <w:pPr>
        <w:ind w:firstLine="560"/>
        <w:rPr>
          <w:rFonts w:ascii="仿宋" w:hAnsi="仿宋" w:eastAsia="仿宋"/>
        </w:rPr>
      </w:pPr>
      <w:r>
        <w:rPr>
          <w:rFonts w:hint="eastAsia" w:ascii="仿宋" w:hAnsi="仿宋" w:eastAsia="仿宋"/>
        </w:rPr>
        <w:t>（1）项目资金安排落实、总投入等情况分析</w:t>
      </w:r>
    </w:p>
    <w:p>
      <w:pPr>
        <w:ind w:firstLine="560"/>
        <w:rPr>
          <w:rFonts w:ascii="仿宋" w:hAnsi="仿宋" w:eastAsia="仿宋"/>
        </w:rPr>
      </w:pPr>
      <w:r>
        <w:rPr>
          <w:rFonts w:hint="eastAsia" w:ascii="仿宋" w:hAnsi="仿宋" w:eastAsia="仿宋"/>
        </w:rPr>
        <w:t>公务费</w:t>
      </w:r>
      <w:r>
        <w:rPr>
          <w:rFonts w:ascii="仿宋" w:hAnsi="仿宋" w:eastAsia="仿宋"/>
        </w:rPr>
        <w:t>项目预算安排总额为</w:t>
      </w:r>
      <w:r>
        <w:rPr>
          <w:rFonts w:hint="eastAsia" w:ascii="仿宋" w:hAnsi="仿宋" w:eastAsia="仿宋"/>
        </w:rPr>
        <w:t>3.20</w:t>
      </w:r>
      <w:r>
        <w:rPr>
          <w:rFonts w:ascii="仿宋" w:hAnsi="仿宋" w:eastAsia="仿宋"/>
        </w:rPr>
        <w:t>万元，其中财政资金</w:t>
      </w:r>
      <w:r>
        <w:rPr>
          <w:rFonts w:hint="eastAsia" w:ascii="仿宋" w:hAnsi="仿宋" w:eastAsia="仿宋"/>
        </w:rPr>
        <w:t>3.20</w:t>
      </w:r>
      <w:r>
        <w:rPr>
          <w:rFonts w:ascii="仿宋" w:hAnsi="仿宋" w:eastAsia="仿宋"/>
        </w:rPr>
        <w:t>万元，其他资金</w:t>
      </w:r>
      <w:r>
        <w:rPr>
          <w:rFonts w:hint="eastAsia" w:ascii="仿宋" w:hAnsi="仿宋" w:eastAsia="仿宋"/>
        </w:rPr>
        <w:t>0</w:t>
      </w:r>
      <w:r>
        <w:rPr>
          <w:rFonts w:ascii="仿宋" w:hAnsi="仿宋" w:eastAsia="仿宋"/>
        </w:rPr>
        <w:t>万元，2019年实际收到预算资金</w:t>
      </w:r>
      <w:r>
        <w:rPr>
          <w:rFonts w:hint="eastAsia" w:ascii="仿宋" w:hAnsi="仿宋" w:eastAsia="仿宋"/>
        </w:rPr>
        <w:t>3.20</w:t>
      </w:r>
      <w:r>
        <w:rPr>
          <w:rFonts w:ascii="仿宋" w:hAnsi="仿宋" w:eastAsia="仿宋"/>
        </w:rPr>
        <w:t>万元，预算资金到位率为</w:t>
      </w:r>
      <w:r>
        <w:rPr>
          <w:rFonts w:hint="eastAsia" w:ascii="仿宋" w:hAnsi="仿宋" w:eastAsia="仿宋"/>
        </w:rPr>
        <w:t>100</w:t>
      </w:r>
      <w:r>
        <w:rPr>
          <w:rFonts w:ascii="仿宋" w:hAnsi="仿宋" w:eastAsia="仿宋"/>
        </w:rPr>
        <w:t>%。</w:t>
      </w:r>
    </w:p>
    <w:p>
      <w:pPr>
        <w:ind w:firstLine="560"/>
        <w:rPr>
          <w:rFonts w:ascii="仿宋" w:hAnsi="仿宋" w:eastAsia="仿宋"/>
        </w:rPr>
      </w:pPr>
      <w:r>
        <w:rPr>
          <w:rFonts w:hint="eastAsia" w:ascii="仿宋" w:hAnsi="仿宋" w:eastAsia="仿宋"/>
        </w:rPr>
        <w:t>项目资金实际使用情况分析</w:t>
      </w:r>
    </w:p>
    <w:p>
      <w:pPr>
        <w:ind w:firstLine="560"/>
        <w:rPr>
          <w:rFonts w:ascii="仿宋" w:hAnsi="仿宋" w:eastAsia="仿宋"/>
        </w:rPr>
      </w:pPr>
      <w:r>
        <w:rPr>
          <w:rFonts w:hint="eastAsia" w:ascii="仿宋" w:hAnsi="仿宋" w:eastAsia="仿宋"/>
        </w:rPr>
        <w:t>本项目实际支付资金3.20万元，预算执行率100</w:t>
      </w:r>
      <w:r>
        <w:rPr>
          <w:rFonts w:ascii="仿宋" w:hAnsi="仿宋" w:eastAsia="仿宋"/>
        </w:rPr>
        <w:t>%</w:t>
      </w:r>
      <w:r>
        <w:rPr>
          <w:rFonts w:hint="eastAsia" w:ascii="仿宋" w:hAnsi="仿宋" w:eastAsia="仿宋"/>
        </w:rPr>
        <w:t>。项目资金主要用于支付购水费用0.75万元、购电费用1.53万元,，维修费0.32万元，办公用品活动费0.60万元。</w:t>
      </w:r>
    </w:p>
    <w:p>
      <w:pPr>
        <w:pStyle w:val="4"/>
        <w:numPr>
          <w:ilvl w:val="0"/>
          <w:numId w:val="2"/>
        </w:numPr>
        <w:ind w:firstLine="643"/>
      </w:pPr>
      <w:r>
        <w:rPr>
          <w:rFonts w:hint="eastAsia"/>
        </w:rPr>
        <w:t>项目绩效目标</w:t>
      </w:r>
    </w:p>
    <w:p>
      <w:pPr>
        <w:pStyle w:val="2"/>
        <w:ind w:firstLine="562"/>
      </w:pPr>
      <w:r>
        <w:rPr>
          <w:rFonts w:hint="eastAsia"/>
        </w:rPr>
        <w:t>1.总体目标</w:t>
      </w:r>
    </w:p>
    <w:p>
      <w:pPr>
        <w:ind w:firstLine="560"/>
        <w:rPr>
          <w:rFonts w:ascii="仿宋" w:hAnsi="仿宋" w:eastAsia="仿宋"/>
        </w:rPr>
      </w:pPr>
      <w:r>
        <w:rPr>
          <w:rFonts w:hint="eastAsia" w:ascii="仿宋" w:hAnsi="仿宋" w:eastAsia="仿宋"/>
        </w:rPr>
        <w:t>由于中心人数少，经费严重不足，占用面积大，水、电费用量大，为保证体育场馆的正常运转，水、电费不低于4次，购买办公用品次数不低于5次，服务本中心人数不低于8人，所有的计划均在2019年年底完成，为保证场馆的正常开放运转，节约能源，让市民在天气不好的时候有一个室内锻炼的好去处，对提高广大群众的体育爱好上一个新台阶。</w:t>
      </w:r>
    </w:p>
    <w:p>
      <w:pPr>
        <w:pStyle w:val="2"/>
        <w:ind w:firstLine="562"/>
      </w:pPr>
      <w:r>
        <w:rPr>
          <w:rFonts w:hint="eastAsia"/>
        </w:rPr>
        <w:t>2.阶段性目标</w:t>
      </w:r>
    </w:p>
    <w:p>
      <w:pPr>
        <w:ind w:firstLine="560"/>
        <w:rPr>
          <w:rFonts w:ascii="仿宋" w:hAnsi="仿宋" w:eastAsia="仿宋"/>
        </w:rPr>
      </w:pPr>
      <w:r>
        <w:rPr>
          <w:rFonts w:hint="eastAsia" w:ascii="仿宋" w:hAnsi="仿宋" w:eastAsia="仿宋"/>
        </w:rPr>
        <w:t>根据</w:t>
      </w:r>
      <w:r>
        <w:rPr>
          <w:rFonts w:hint="eastAsia" w:ascii="仿宋" w:hAnsi="仿宋" w:eastAsia="仿宋"/>
          <w:lang w:eastAsia="zh-CN"/>
        </w:rPr>
        <w:t>相关</w:t>
      </w:r>
      <w:r>
        <w:rPr>
          <w:rFonts w:hint="eastAsia" w:ascii="仿宋" w:hAnsi="仿宋" w:eastAsia="仿宋"/>
        </w:rPr>
        <w:t>的规定，结合项目实施单位的规章制度以及财务相关资料，评价小组对项目绩效目标进行了进一步的完善，完善后绩效目标如下：</w:t>
      </w:r>
    </w:p>
    <w:p>
      <w:pPr>
        <w:ind w:firstLine="560"/>
        <w:rPr>
          <w:rFonts w:ascii="仿宋" w:hAnsi="仿宋" w:eastAsia="仿宋"/>
        </w:rPr>
      </w:pPr>
      <w:r>
        <w:rPr>
          <w:rFonts w:hint="eastAsia" w:ascii="仿宋" w:hAnsi="仿宋" w:eastAsia="仿宋"/>
        </w:rPr>
        <w:t>项目产出目标</w:t>
      </w:r>
    </w:p>
    <w:p>
      <w:pPr>
        <w:ind w:firstLine="560"/>
        <w:rPr>
          <w:rFonts w:ascii="仿宋" w:hAnsi="仿宋" w:eastAsia="仿宋"/>
        </w:rPr>
      </w:pPr>
      <w:r>
        <w:rPr>
          <w:rFonts w:hint="eastAsia" w:ascii="仿宋" w:hAnsi="仿宋" w:eastAsia="仿宋"/>
        </w:rPr>
        <w:t>①数量指标</w:t>
      </w:r>
    </w:p>
    <w:p>
      <w:pPr>
        <w:ind w:firstLine="560"/>
        <w:rPr>
          <w:rFonts w:ascii="仿宋" w:hAnsi="仿宋" w:eastAsia="仿宋"/>
        </w:rPr>
      </w:pPr>
      <w:r>
        <w:rPr>
          <w:rFonts w:hint="eastAsia" w:ascii="仿宋" w:hAnsi="仿宋" w:eastAsia="仿宋"/>
        </w:rPr>
        <w:t>“购买办公用品次数（次）”指标，预期指标值为≥5；</w:t>
      </w:r>
    </w:p>
    <w:p>
      <w:pPr>
        <w:ind w:firstLine="560"/>
        <w:rPr>
          <w:rFonts w:ascii="仿宋" w:hAnsi="仿宋" w:eastAsia="仿宋"/>
        </w:rPr>
      </w:pPr>
      <w:r>
        <w:rPr>
          <w:rFonts w:hint="eastAsia" w:ascii="仿宋" w:hAnsi="仿宋" w:eastAsia="仿宋"/>
        </w:rPr>
        <w:t>“服务对象人数(人）”指标，预期指标值为≥8；</w:t>
      </w:r>
    </w:p>
    <w:p>
      <w:pPr>
        <w:ind w:firstLine="560"/>
        <w:rPr>
          <w:rFonts w:ascii="仿宋" w:hAnsi="仿宋" w:eastAsia="仿宋"/>
        </w:rPr>
      </w:pPr>
      <w:r>
        <w:rPr>
          <w:rFonts w:hint="eastAsia" w:ascii="仿宋" w:hAnsi="仿宋" w:eastAsia="仿宋"/>
        </w:rPr>
        <w:t>“购买水电次数（次）”指标，预期指标值为≥4。</w:t>
      </w:r>
    </w:p>
    <w:p>
      <w:pPr>
        <w:ind w:firstLine="560"/>
        <w:rPr>
          <w:rFonts w:ascii="仿宋" w:hAnsi="仿宋" w:eastAsia="仿宋"/>
        </w:rPr>
      </w:pPr>
      <w:r>
        <w:rPr>
          <w:rFonts w:hint="eastAsia" w:ascii="仿宋" w:hAnsi="仿宋" w:eastAsia="仿宋"/>
        </w:rPr>
        <w:t>②质量指标</w:t>
      </w:r>
    </w:p>
    <w:p>
      <w:pPr>
        <w:ind w:firstLine="560"/>
        <w:rPr>
          <w:rFonts w:ascii="仿宋" w:hAnsi="仿宋" w:eastAsia="仿宋"/>
        </w:rPr>
      </w:pPr>
      <w:r>
        <w:rPr>
          <w:rFonts w:hint="eastAsia" w:ascii="仿宋" w:hAnsi="仿宋" w:eastAsia="仿宋"/>
        </w:rPr>
        <w:t>“采购完成率（%）”指标，预期指标值为≥95%；</w:t>
      </w:r>
    </w:p>
    <w:p>
      <w:pPr>
        <w:ind w:firstLine="560"/>
        <w:rPr>
          <w:rFonts w:ascii="仿宋" w:hAnsi="仿宋" w:eastAsia="仿宋"/>
        </w:rPr>
      </w:pPr>
      <w:r>
        <w:rPr>
          <w:rFonts w:hint="eastAsia" w:ascii="仿宋" w:hAnsi="仿宋" w:eastAsia="仿宋"/>
        </w:rPr>
        <w:t>“办公用品质量合格率（%）指标，预期指标值为≥95%；</w:t>
      </w:r>
    </w:p>
    <w:p>
      <w:pPr>
        <w:ind w:firstLine="560"/>
        <w:rPr>
          <w:rFonts w:ascii="仿宋" w:hAnsi="仿宋" w:eastAsia="仿宋"/>
        </w:rPr>
      </w:pPr>
      <w:r>
        <w:rPr>
          <w:rFonts w:hint="eastAsia" w:ascii="仿宋" w:hAnsi="仿宋" w:eastAsia="仿宋"/>
        </w:rPr>
        <w:t>③时效指标</w:t>
      </w:r>
    </w:p>
    <w:p>
      <w:pPr>
        <w:ind w:firstLine="560"/>
        <w:rPr>
          <w:rFonts w:ascii="仿宋" w:hAnsi="仿宋" w:eastAsia="仿宋"/>
        </w:rPr>
      </w:pPr>
      <w:r>
        <w:rPr>
          <w:rFonts w:ascii="仿宋" w:hAnsi="仿宋" w:eastAsia="仿宋"/>
        </w:rPr>
        <w:t>“</w:t>
      </w:r>
      <w:r>
        <w:rPr>
          <w:rFonts w:hint="eastAsia" w:ascii="仿宋" w:hAnsi="仿宋" w:eastAsia="仿宋"/>
        </w:rPr>
        <w:t>资金支付及时率（%）</w:t>
      </w:r>
      <w:r>
        <w:rPr>
          <w:rFonts w:ascii="仿宋" w:hAnsi="仿宋" w:eastAsia="仿宋"/>
        </w:rPr>
        <w:t>”</w:t>
      </w:r>
      <w:r>
        <w:rPr>
          <w:rFonts w:hint="eastAsia" w:ascii="仿宋" w:hAnsi="仿宋" w:eastAsia="仿宋"/>
        </w:rPr>
        <w:t>指标，预期指标值为≥95%；</w:t>
      </w:r>
    </w:p>
    <w:p>
      <w:pPr>
        <w:ind w:firstLine="560"/>
        <w:rPr>
          <w:rFonts w:ascii="仿宋" w:hAnsi="仿宋" w:eastAsia="仿宋"/>
        </w:rPr>
      </w:pPr>
      <w:r>
        <w:rPr>
          <w:rFonts w:hint="eastAsia" w:ascii="仿宋" w:hAnsi="仿宋" w:eastAsia="仿宋"/>
        </w:rPr>
        <w:t>“项目完成时限”指标，预期指标值为2019年12月31日前；</w:t>
      </w:r>
    </w:p>
    <w:p>
      <w:pPr>
        <w:ind w:firstLine="560"/>
        <w:rPr>
          <w:rFonts w:ascii="仿宋" w:hAnsi="仿宋" w:eastAsia="仿宋"/>
        </w:rPr>
      </w:pPr>
      <w:r>
        <w:rPr>
          <w:rFonts w:hint="eastAsia" w:ascii="仿宋" w:hAnsi="仿宋" w:eastAsia="仿宋"/>
        </w:rPr>
        <w:t>④成本指标</w:t>
      </w:r>
    </w:p>
    <w:p>
      <w:pPr>
        <w:ind w:firstLine="560"/>
        <w:rPr>
          <w:rFonts w:ascii="仿宋" w:hAnsi="仿宋" w:eastAsia="仿宋"/>
        </w:rPr>
      </w:pPr>
      <w:r>
        <w:rPr>
          <w:rFonts w:hint="eastAsia" w:ascii="仿宋" w:hAnsi="仿宋" w:eastAsia="仿宋"/>
        </w:rPr>
        <w:t>“水费（万元）”指标，预期指标值为≤0.75；</w:t>
      </w:r>
    </w:p>
    <w:p>
      <w:pPr>
        <w:ind w:firstLine="560"/>
        <w:rPr>
          <w:rFonts w:ascii="仿宋" w:hAnsi="仿宋" w:eastAsia="仿宋"/>
        </w:rPr>
      </w:pPr>
      <w:r>
        <w:rPr>
          <w:rFonts w:hint="eastAsia" w:ascii="仿宋" w:hAnsi="仿宋" w:eastAsia="仿宋"/>
        </w:rPr>
        <w:t>“电费（万元）”指标，预期指标值为≤1.53；</w:t>
      </w:r>
    </w:p>
    <w:p>
      <w:pPr>
        <w:ind w:firstLine="560"/>
        <w:rPr>
          <w:rFonts w:ascii="仿宋" w:hAnsi="仿宋" w:eastAsia="仿宋"/>
        </w:rPr>
      </w:pPr>
      <w:r>
        <w:rPr>
          <w:rFonts w:ascii="仿宋" w:hAnsi="仿宋" w:eastAsia="仿宋"/>
        </w:rPr>
        <w:t>“</w:t>
      </w:r>
      <w:r>
        <w:rPr>
          <w:rFonts w:hint="eastAsia" w:ascii="仿宋" w:hAnsi="仿宋" w:eastAsia="仿宋"/>
        </w:rPr>
        <w:t>维修费（万元）</w:t>
      </w:r>
      <w:r>
        <w:rPr>
          <w:rFonts w:ascii="仿宋" w:hAnsi="仿宋" w:eastAsia="仿宋"/>
        </w:rPr>
        <w:t>”</w:t>
      </w:r>
      <w:r>
        <w:rPr>
          <w:rFonts w:hint="eastAsia" w:ascii="仿宋" w:hAnsi="仿宋" w:eastAsia="仿宋"/>
        </w:rPr>
        <w:t>指标，预期指标值为≤0.32；</w:t>
      </w:r>
    </w:p>
    <w:p>
      <w:pPr>
        <w:ind w:firstLine="560"/>
        <w:rPr>
          <w:rFonts w:ascii="仿宋" w:hAnsi="仿宋" w:eastAsia="仿宋"/>
        </w:rPr>
      </w:pPr>
      <w:r>
        <w:rPr>
          <w:rFonts w:hint="eastAsia" w:ascii="仿宋" w:hAnsi="仿宋" w:eastAsia="仿宋"/>
        </w:rPr>
        <w:t>“办公费（万元）”指标，预期指标值为≤0.6；</w:t>
      </w:r>
    </w:p>
    <w:p>
      <w:pPr>
        <w:ind w:firstLine="560"/>
        <w:rPr>
          <w:rFonts w:ascii="仿宋" w:hAnsi="仿宋" w:eastAsia="仿宋"/>
        </w:rPr>
      </w:pPr>
      <w:r>
        <w:rPr>
          <w:rFonts w:hint="eastAsia" w:ascii="仿宋" w:hAnsi="仿宋" w:eastAsia="仿宋"/>
        </w:rPr>
        <w:t>（2）项目效益目标</w:t>
      </w:r>
    </w:p>
    <w:p>
      <w:pPr>
        <w:ind w:firstLine="560"/>
        <w:rPr>
          <w:rFonts w:ascii="仿宋" w:hAnsi="仿宋" w:eastAsia="仿宋"/>
        </w:rPr>
      </w:pPr>
      <w:r>
        <w:rPr>
          <w:rFonts w:hint="eastAsia" w:ascii="仿宋" w:hAnsi="仿宋" w:eastAsia="仿宋"/>
        </w:rPr>
        <w:t>①经济效益指标</w:t>
      </w:r>
    </w:p>
    <w:p>
      <w:pPr>
        <w:ind w:firstLine="560"/>
        <w:rPr>
          <w:rFonts w:ascii="仿宋" w:hAnsi="仿宋" w:eastAsia="仿宋"/>
        </w:rPr>
      </w:pPr>
      <w:r>
        <w:rPr>
          <w:rFonts w:hint="eastAsia" w:ascii="仿宋" w:hAnsi="仿宋" w:eastAsia="仿宋"/>
        </w:rPr>
        <w:t>“体育场馆水电开支控制率（%)”指标，预期指标值为≥95%；</w:t>
      </w:r>
    </w:p>
    <w:p>
      <w:pPr>
        <w:ind w:firstLine="560"/>
        <w:rPr>
          <w:rFonts w:ascii="仿宋" w:hAnsi="仿宋" w:eastAsia="仿宋"/>
        </w:rPr>
      </w:pPr>
      <w:r>
        <w:rPr>
          <w:rFonts w:hint="eastAsia" w:ascii="仿宋" w:hAnsi="仿宋" w:eastAsia="仿宋"/>
        </w:rPr>
        <w:t xml:space="preserve"> </w:t>
      </w:r>
    </w:p>
    <w:p>
      <w:pPr>
        <w:ind w:firstLine="560"/>
        <w:rPr>
          <w:rFonts w:ascii="仿宋" w:hAnsi="仿宋" w:eastAsia="仿宋"/>
        </w:rPr>
      </w:pPr>
      <w:r>
        <w:rPr>
          <w:rFonts w:hint="eastAsia" w:ascii="仿宋" w:hAnsi="仿宋" w:eastAsia="仿宋"/>
        </w:rPr>
        <w:t>②社会效益指标</w:t>
      </w:r>
    </w:p>
    <w:p>
      <w:pPr>
        <w:ind w:firstLine="560"/>
        <w:rPr>
          <w:rFonts w:ascii="仿宋" w:hAnsi="仿宋" w:eastAsia="仿宋"/>
        </w:rPr>
      </w:pPr>
      <w:r>
        <w:rPr>
          <w:rFonts w:hint="eastAsia" w:ascii="仿宋" w:hAnsi="仿宋" w:eastAsia="仿宋"/>
        </w:rPr>
        <w:t>“体育场馆使用率（%）”指标，预期指标值为有效提高；</w:t>
      </w:r>
    </w:p>
    <w:p>
      <w:pPr>
        <w:ind w:firstLine="560"/>
        <w:rPr>
          <w:rFonts w:ascii="仿宋" w:hAnsi="仿宋" w:eastAsia="仿宋"/>
        </w:rPr>
      </w:pPr>
      <w:r>
        <w:rPr>
          <w:rFonts w:hint="eastAsia" w:ascii="仿宋" w:hAnsi="仿宋" w:eastAsia="仿宋"/>
        </w:rPr>
        <w:t>③生态效益指标</w:t>
      </w:r>
    </w:p>
    <w:p>
      <w:pPr>
        <w:ind w:firstLine="560"/>
        <w:rPr>
          <w:rFonts w:ascii="仿宋" w:hAnsi="仿宋" w:eastAsia="仿宋"/>
        </w:rPr>
      </w:pPr>
      <w:r>
        <w:rPr>
          <w:rFonts w:hint="eastAsia" w:ascii="仿宋" w:hAnsi="仿宋" w:eastAsia="仿宋"/>
        </w:rPr>
        <w:t>无指标；</w:t>
      </w:r>
    </w:p>
    <w:p>
      <w:pPr>
        <w:ind w:firstLine="560"/>
        <w:rPr>
          <w:rFonts w:ascii="仿宋" w:hAnsi="仿宋" w:eastAsia="仿宋"/>
        </w:rPr>
      </w:pPr>
      <w:r>
        <w:rPr>
          <w:rFonts w:hint="eastAsia" w:ascii="仿宋" w:hAnsi="仿宋" w:eastAsia="仿宋"/>
        </w:rPr>
        <w:t>④可持续影响</w:t>
      </w:r>
    </w:p>
    <w:p>
      <w:pPr>
        <w:ind w:firstLine="560"/>
        <w:rPr>
          <w:rFonts w:ascii="仿宋" w:hAnsi="仿宋" w:eastAsia="仿宋"/>
        </w:rPr>
      </w:pPr>
      <w:r>
        <w:rPr>
          <w:rFonts w:hint="eastAsia" w:ascii="仿宋" w:hAnsi="仿宋" w:eastAsia="仿宋"/>
        </w:rPr>
        <w:t>“对提高市民身体健康水平影响程度”指标，预期指标值为长期；</w:t>
      </w:r>
    </w:p>
    <w:p>
      <w:pPr>
        <w:ind w:firstLine="560"/>
        <w:rPr>
          <w:rFonts w:ascii="仿宋" w:hAnsi="仿宋" w:eastAsia="仿宋"/>
        </w:rPr>
      </w:pPr>
      <w:r>
        <w:rPr>
          <w:rFonts w:hint="eastAsia" w:ascii="仿宋" w:hAnsi="仿宋" w:eastAsia="仿宋"/>
        </w:rPr>
        <w:t>（3）相关满意度目标</w:t>
      </w:r>
    </w:p>
    <w:p>
      <w:pPr>
        <w:ind w:firstLine="560"/>
        <w:rPr>
          <w:rFonts w:ascii="仿宋" w:hAnsi="仿宋" w:eastAsia="仿宋"/>
        </w:rPr>
      </w:pPr>
      <w:r>
        <w:rPr>
          <w:rFonts w:hint="eastAsia" w:ascii="仿宋" w:hAnsi="仿宋" w:eastAsia="仿宋"/>
        </w:rPr>
        <w:t>①满意度指标</w:t>
      </w:r>
    </w:p>
    <w:p>
      <w:pPr>
        <w:ind w:firstLine="560"/>
        <w:rPr>
          <w:rFonts w:ascii="仿宋" w:hAnsi="仿宋" w:eastAsia="仿宋"/>
        </w:rPr>
      </w:pPr>
      <w:r>
        <w:rPr>
          <w:rFonts w:hint="eastAsia" w:ascii="仿宋" w:hAnsi="仿宋" w:eastAsia="仿宋"/>
        </w:rPr>
        <w:t>“受益人满意度（%）”指标，预期指标值为≥90%。</w:t>
      </w:r>
    </w:p>
    <w:p>
      <w:pPr>
        <w:pStyle w:val="3"/>
        <w:ind w:firstLine="640"/>
      </w:pPr>
      <w:r>
        <w:rPr>
          <w:rFonts w:hint="eastAsia"/>
        </w:rPr>
        <w:t>二、绩效评价工作开展情况</w:t>
      </w:r>
    </w:p>
    <w:p>
      <w:pPr>
        <w:pStyle w:val="4"/>
        <w:numPr>
          <w:ilvl w:val="0"/>
          <w:numId w:val="3"/>
        </w:numPr>
        <w:ind w:firstLine="643"/>
        <w:rPr>
          <w:rFonts w:ascii="楷体" w:hAnsi="楷体" w:cs="楷体"/>
          <w:szCs w:val="32"/>
        </w:rPr>
      </w:pPr>
      <w:bookmarkStart w:id="0" w:name="_Toc12868"/>
      <w:bookmarkStart w:id="1" w:name="_Toc5462343"/>
      <w:bookmarkStart w:id="2" w:name="_Toc21664"/>
      <w:bookmarkStart w:id="3" w:name="_Toc5258"/>
      <w:bookmarkStart w:id="4" w:name="_Toc26632"/>
      <w:bookmarkStart w:id="5" w:name="_Toc22169_WPSOffice_Level2"/>
      <w:bookmarkStart w:id="6" w:name="_Toc22922"/>
      <w:bookmarkStart w:id="7" w:name="_Toc480473081"/>
      <w:r>
        <w:rPr>
          <w:rFonts w:hint="eastAsia" w:ascii="楷体" w:hAnsi="楷体" w:cs="楷体"/>
          <w:szCs w:val="32"/>
        </w:rPr>
        <w:t>绩效评价的目的</w:t>
      </w:r>
      <w:bookmarkEnd w:id="0"/>
      <w:bookmarkEnd w:id="1"/>
      <w:bookmarkEnd w:id="2"/>
      <w:bookmarkEnd w:id="3"/>
      <w:bookmarkEnd w:id="4"/>
      <w:bookmarkEnd w:id="5"/>
      <w:bookmarkEnd w:id="6"/>
      <w:bookmarkEnd w:id="7"/>
      <w:r>
        <w:rPr>
          <w:rFonts w:hint="eastAsia" w:ascii="楷体" w:hAnsi="楷体" w:cs="楷体"/>
          <w:szCs w:val="32"/>
        </w:rPr>
        <w:t>、对象和范围</w:t>
      </w:r>
    </w:p>
    <w:p>
      <w:pPr>
        <w:pStyle w:val="2"/>
        <w:ind w:firstLine="562"/>
      </w:pPr>
      <w:r>
        <w:rPr>
          <w:rFonts w:hint="eastAsia"/>
        </w:rPr>
        <w:t>1.</w:t>
      </w:r>
      <w:r>
        <w:rPr>
          <w:rFonts w:hint="eastAsia" w:ascii="楷体" w:hAnsi="楷体" w:eastAsia="楷体" w:cs="楷体"/>
          <w:sz w:val="32"/>
        </w:rPr>
        <w:t>绩效评价的目的</w:t>
      </w:r>
    </w:p>
    <w:p>
      <w:pPr>
        <w:ind w:firstLine="560"/>
        <w:rPr>
          <w:rFonts w:ascii="仿宋" w:hAnsi="仿宋" w:eastAsia="仿宋"/>
        </w:rPr>
      </w:pPr>
      <w:r>
        <w:rPr>
          <w:rFonts w:hint="eastAsia" w:ascii="仿宋" w:hAnsi="仿宋" w:eastAsia="仿宋"/>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p>
    <w:p>
      <w:pPr>
        <w:pStyle w:val="2"/>
        <w:ind w:firstLine="562"/>
      </w:pPr>
      <w:r>
        <w:rPr>
          <w:rFonts w:hint="eastAsia"/>
        </w:rPr>
        <w:t>2.绩效评价的对象和范围</w:t>
      </w:r>
    </w:p>
    <w:p>
      <w:pPr>
        <w:spacing w:line="600" w:lineRule="exact"/>
        <w:ind w:firstLine="560"/>
        <w:rPr>
          <w:rFonts w:ascii="仿宋" w:hAnsi="仿宋" w:eastAsia="仿宋"/>
        </w:rPr>
      </w:pPr>
      <w:r>
        <w:rPr>
          <w:rFonts w:hint="eastAsia" w:ascii="仿宋" w:hAnsi="仿宋" w:eastAsia="仿宋"/>
        </w:rPr>
        <w:t>此次我单位根据</w:t>
      </w:r>
      <w:r>
        <w:rPr>
          <w:rFonts w:hint="eastAsia" w:ascii="仿宋" w:hAnsi="仿宋" w:eastAsia="仿宋"/>
          <w:lang w:eastAsia="zh-CN"/>
        </w:rPr>
        <w:t>相关规定</w:t>
      </w:r>
      <w:r>
        <w:rPr>
          <w:rFonts w:hint="eastAsia" w:ascii="仿宋" w:hAnsi="仿宋" w:eastAsia="仿宋"/>
        </w:rPr>
        <w:t>要求对2019年度我单位实施的公务费项目开展部门绩效评价，本次绩效评价主要围绕项目</w:t>
      </w:r>
      <w:r>
        <w:rPr>
          <w:rFonts w:ascii="仿宋" w:hAnsi="仿宋" w:eastAsia="仿宋"/>
        </w:rPr>
        <w:t>资金使用情况、财务管理状况和资产配置、使用、处置及其收益管理情况</w:t>
      </w:r>
      <w:r>
        <w:rPr>
          <w:rFonts w:hint="eastAsia" w:ascii="仿宋" w:hAnsi="仿宋" w:eastAsia="仿宋"/>
        </w:rPr>
        <w:t>；项目管理</w:t>
      </w:r>
      <w:r>
        <w:rPr>
          <w:rFonts w:ascii="仿宋" w:hAnsi="仿宋" w:eastAsia="仿宋"/>
        </w:rPr>
        <w:t>相关制度</w:t>
      </w:r>
      <w:r>
        <w:rPr>
          <w:rFonts w:hint="eastAsia" w:ascii="仿宋" w:hAnsi="仿宋" w:eastAsia="仿宋"/>
        </w:rPr>
        <w:t>及</w:t>
      </w:r>
      <w:r>
        <w:rPr>
          <w:rFonts w:ascii="仿宋" w:hAnsi="仿宋" w:eastAsia="仿宋"/>
        </w:rPr>
        <w:t>措施</w:t>
      </w:r>
      <w:r>
        <w:rPr>
          <w:rFonts w:hint="eastAsia" w:ascii="仿宋" w:hAnsi="仿宋" w:eastAsia="仿宋"/>
        </w:rPr>
        <w:t>是否被认真执行</w:t>
      </w:r>
      <w:r>
        <w:rPr>
          <w:rFonts w:ascii="仿宋" w:hAnsi="仿宋" w:eastAsia="仿宋"/>
        </w:rPr>
        <w:t>；绩效目标的实现程度，包括是否达到预定产出和效果等</w:t>
      </w:r>
      <w:r>
        <w:rPr>
          <w:rFonts w:hint="eastAsia" w:ascii="仿宋" w:hAnsi="仿宋" w:eastAsia="仿宋"/>
        </w:rPr>
        <w:t>方面进行部门绩效评价。</w:t>
      </w:r>
    </w:p>
    <w:p>
      <w:pPr>
        <w:pStyle w:val="4"/>
        <w:numPr>
          <w:ilvl w:val="0"/>
          <w:numId w:val="3"/>
        </w:numPr>
        <w:ind w:firstLine="643"/>
      </w:pPr>
      <w:r>
        <w:rPr>
          <w:rFonts w:hint="eastAsia"/>
        </w:rPr>
        <w:t>评价工作简述</w:t>
      </w:r>
    </w:p>
    <w:p>
      <w:pPr>
        <w:pStyle w:val="2"/>
        <w:ind w:firstLine="562"/>
      </w:pPr>
      <w:r>
        <w:rPr>
          <w:rFonts w:hint="eastAsia"/>
        </w:rPr>
        <w:t>1.绩效评价原则</w:t>
      </w:r>
    </w:p>
    <w:p>
      <w:pPr>
        <w:ind w:firstLine="560"/>
        <w:rPr>
          <w:rFonts w:ascii="仿宋" w:hAnsi="仿宋" w:eastAsia="仿宋"/>
        </w:rPr>
      </w:pPr>
      <w:r>
        <w:rPr>
          <w:rFonts w:hint="eastAsia" w:ascii="仿宋" w:hAnsi="仿宋" w:eastAsia="仿宋"/>
        </w:rPr>
        <w:t>依据</w:t>
      </w:r>
      <w:r>
        <w:rPr>
          <w:rFonts w:hint="eastAsia" w:ascii="仿宋" w:hAnsi="仿宋" w:eastAsia="仿宋"/>
          <w:lang w:eastAsia="zh-CN"/>
        </w:rPr>
        <w:t>相关规定</w:t>
      </w:r>
      <w:r>
        <w:rPr>
          <w:rFonts w:hint="eastAsia" w:ascii="仿宋" w:hAnsi="仿宋" w:eastAsia="仿宋"/>
        </w:rPr>
        <w:t>等要求，本次绩效评价秉承科学规范、公正公开、分级分类、绩效相关等原则，按照从投入、过程到产出效果和影响的绩效逻辑路径，结合公务费项目实际开展情况，运用定量和定性分析相结合的方法，总结经验做法，反思项目实施和管理中的问题，以切实提升财政资金管理的科学化、规范化和精细化水平。</w:t>
      </w:r>
    </w:p>
    <w:p>
      <w:pPr>
        <w:ind w:firstLine="560"/>
        <w:rPr>
          <w:rFonts w:ascii="仿宋" w:hAnsi="仿宋" w:eastAsia="仿宋"/>
        </w:rPr>
      </w:pPr>
      <w:r>
        <w:rPr>
          <w:rFonts w:hint="eastAsia" w:ascii="仿宋" w:hAnsi="仿宋" w:eastAsia="仿宋"/>
        </w:rPr>
        <w:t>根据以上原则，绩效评价应遵循如下要求：</w:t>
      </w:r>
    </w:p>
    <w:p>
      <w:pPr>
        <w:ind w:firstLine="560"/>
        <w:rPr>
          <w:rFonts w:ascii="仿宋" w:hAnsi="仿宋" w:eastAsia="仿宋"/>
        </w:rPr>
      </w:pPr>
      <w:r>
        <w:rPr>
          <w:rFonts w:hint="eastAsia" w:ascii="仿宋" w:hAnsi="仿宋" w:eastAsia="仿宋"/>
        </w:rPr>
        <w:t>（1）在数据采集时，采取客观数据，主管部门审查、社会中介组织复查，与问卷调查相结合的形式，以保证各项指标的真实性。</w:t>
      </w:r>
    </w:p>
    <w:p>
      <w:pPr>
        <w:ind w:firstLine="560"/>
        <w:rPr>
          <w:rFonts w:ascii="仿宋" w:hAnsi="仿宋" w:eastAsia="仿宋"/>
        </w:rPr>
      </w:pPr>
      <w:r>
        <w:rPr>
          <w:rFonts w:hint="eastAsia" w:ascii="仿宋" w:hAnsi="仿宋" w:eastAsia="仿宋"/>
        </w:rPr>
        <w:t>（2）保证评价结果的真实性、公正性，提高评价报告的公信力。</w:t>
      </w:r>
    </w:p>
    <w:p>
      <w:pPr>
        <w:ind w:firstLine="560"/>
        <w:rPr>
          <w:rFonts w:ascii="仿宋" w:hAnsi="仿宋" w:eastAsia="仿宋"/>
        </w:rPr>
      </w:pPr>
      <w:r>
        <w:rPr>
          <w:rFonts w:hint="eastAsia" w:ascii="仿宋" w:hAnsi="仿宋" w:eastAsia="仿宋"/>
        </w:rPr>
        <w:t>（3）绩效评价报告应当简明扼要，除了对绩效评价的过程、结果描述外，还应总结经验，指出问题，并就共性问题提出可操作性改进建议。</w:t>
      </w:r>
    </w:p>
    <w:p>
      <w:pPr>
        <w:pStyle w:val="2"/>
        <w:ind w:firstLine="562"/>
      </w:pPr>
      <w:bookmarkStart w:id="8" w:name="_Toc428278230"/>
      <w:bookmarkStart w:id="9" w:name="_Toc1913"/>
      <w:bookmarkStart w:id="10" w:name="_Toc26131"/>
      <w:bookmarkStart w:id="11" w:name="_Toc419984722"/>
      <w:r>
        <w:rPr>
          <w:rFonts w:hint="eastAsia"/>
        </w:rPr>
        <w:t>2.绩效评价指标体系</w:t>
      </w:r>
      <w:bookmarkEnd w:id="8"/>
      <w:bookmarkEnd w:id="9"/>
      <w:bookmarkEnd w:id="10"/>
      <w:bookmarkEnd w:id="11"/>
    </w:p>
    <w:p>
      <w:pPr>
        <w:pStyle w:val="2"/>
        <w:ind w:firstLine="562"/>
        <w:rPr>
          <w:rFonts w:hint="eastAsia" w:ascii="仿宋" w:hAnsi="仿宋" w:eastAsia="仿宋"/>
          <w:lang w:eastAsia="zh-CN"/>
        </w:rPr>
      </w:pPr>
      <w:r>
        <w:rPr>
          <w:rFonts w:hint="eastAsia" w:ascii="仿宋" w:hAnsi="仿宋" w:eastAsia="仿宋"/>
        </w:rPr>
        <w:t>我单位根据项目的实施资料研读及前期调研，结合项目的实际开展情况，将项目的指标体系进行了调整和完善，最终形成了项目绩效评价指标体系</w:t>
      </w:r>
      <w:r>
        <w:rPr>
          <w:rFonts w:hint="eastAsia" w:ascii="仿宋" w:hAnsi="仿宋" w:eastAsia="仿宋"/>
          <w:lang w:eastAsia="zh-CN"/>
        </w:rPr>
        <w:t>。</w:t>
      </w:r>
    </w:p>
    <w:p>
      <w:pPr>
        <w:pStyle w:val="2"/>
        <w:ind w:firstLine="562"/>
      </w:pPr>
      <w:r>
        <w:rPr>
          <w:rFonts w:hint="eastAsia"/>
        </w:rPr>
        <w:t>3.评价方法</w:t>
      </w:r>
    </w:p>
    <w:p>
      <w:pPr>
        <w:ind w:firstLine="560"/>
        <w:rPr>
          <w:rFonts w:ascii="仿宋" w:hAnsi="仿宋" w:eastAsia="仿宋"/>
        </w:rPr>
      </w:pPr>
      <w:r>
        <w:rPr>
          <w:rFonts w:hint="eastAsia" w:ascii="仿宋" w:hAnsi="仿宋" w:eastAsia="仿宋"/>
        </w:rPr>
        <w:t>本次绩效评价采用的方法比较法、公众评判法对项目绩效目标预期指标值与实施情况进行比较，以及采取公众问卷及抽样调查等方式进行评判的方法对该项目进行评价。</w:t>
      </w:r>
    </w:p>
    <w:p>
      <w:pPr>
        <w:pStyle w:val="2"/>
        <w:ind w:firstLine="562"/>
      </w:pPr>
      <w:r>
        <w:rPr>
          <w:rFonts w:hint="eastAsia"/>
        </w:rPr>
        <w:t>4.评价标准</w:t>
      </w:r>
    </w:p>
    <w:p>
      <w:pPr>
        <w:ind w:firstLine="560"/>
        <w:rPr>
          <w:rFonts w:ascii="仿宋" w:hAnsi="仿宋" w:eastAsia="仿宋"/>
        </w:rPr>
      </w:pPr>
      <w:r>
        <w:rPr>
          <w:rFonts w:hint="eastAsia" w:ascii="仿宋" w:hAnsi="仿宋" w:eastAsia="仿宋"/>
        </w:rPr>
        <w:t>本次绩效评价采用的标准计划标准、行业标准、历史标准对绩效指标完成情况进行对比。</w:t>
      </w:r>
    </w:p>
    <w:p>
      <w:pPr>
        <w:pStyle w:val="4"/>
        <w:numPr>
          <w:ilvl w:val="0"/>
          <w:numId w:val="3"/>
        </w:numPr>
        <w:ind w:firstLine="643"/>
      </w:pPr>
      <w:r>
        <w:rPr>
          <w:rFonts w:hint="eastAsia"/>
        </w:rPr>
        <w:t>绩效评价工作过程</w:t>
      </w:r>
    </w:p>
    <w:p>
      <w:pPr>
        <w:ind w:firstLine="560"/>
        <w:rPr>
          <w:rFonts w:ascii="宋体" w:hAnsi="宋体" w:eastAsia="宋体"/>
        </w:rPr>
      </w:pPr>
      <w:r>
        <w:rPr>
          <w:rFonts w:hint="eastAsia" w:ascii="仿宋" w:hAnsi="仿宋" w:eastAsia="仿宋"/>
        </w:rPr>
        <w:t>本次评价设计了评价方案、评价指标体系，通过资料分析、调研、访谈满意度调查等方式形成评价结论，确定评价意见，并出具评价报告。</w:t>
      </w:r>
      <w:r>
        <w:rPr>
          <w:rFonts w:hint="eastAsia" w:ascii="宋体" w:hAnsi="宋体" w:eastAsia="宋体"/>
        </w:rPr>
        <w:t>　</w:t>
      </w:r>
    </w:p>
    <w:p>
      <w:pPr>
        <w:pStyle w:val="3"/>
        <w:numPr>
          <w:ilvl w:val="0"/>
          <w:numId w:val="4"/>
        </w:numPr>
        <w:ind w:firstLine="640"/>
      </w:pPr>
      <w:r>
        <w:rPr>
          <w:rFonts w:hint="eastAsia"/>
        </w:rPr>
        <w:t>综合评价情况及评价结论</w:t>
      </w:r>
    </w:p>
    <w:p>
      <w:pPr>
        <w:ind w:firstLine="560"/>
        <w:rPr>
          <w:rFonts w:ascii="仿宋" w:hAnsi="仿宋" w:eastAsia="仿宋"/>
        </w:rPr>
      </w:pPr>
      <w:r>
        <w:rPr>
          <w:rFonts w:hint="eastAsia" w:ascii="仿宋" w:hAnsi="仿宋" w:eastAsia="仿宋"/>
        </w:rPr>
        <w:t>此次绩效评价通过组论证的评价指标体系及评分标准，采用的方法比较法、公众评判法，对公务费项目绩效进行客观评价，最终评分结果：总分为98分，绩效评级为“优”。各部分权重和绩效汇总分值如下表所示：</w:t>
      </w:r>
    </w:p>
    <w:tbl>
      <w:tblPr>
        <w:tblStyle w:val="12"/>
        <w:tblW w:w="8290" w:type="dxa"/>
        <w:jc w:val="center"/>
        <w:tblInd w:w="0" w:type="dxa"/>
        <w:tblLayout w:type="fixed"/>
        <w:tblCellMar>
          <w:top w:w="0" w:type="dxa"/>
          <w:left w:w="0" w:type="dxa"/>
          <w:bottom w:w="0" w:type="dxa"/>
          <w:right w:w="0" w:type="dxa"/>
        </w:tblCellMar>
      </w:tblPr>
      <w:tblGrid>
        <w:gridCol w:w="1094"/>
        <w:gridCol w:w="1361"/>
        <w:gridCol w:w="1361"/>
        <w:gridCol w:w="1361"/>
        <w:gridCol w:w="1623"/>
        <w:gridCol w:w="1490"/>
      </w:tblGrid>
      <w:tr>
        <w:tblPrEx>
          <w:tblLayout w:type="fixed"/>
          <w:tblCellMar>
            <w:top w:w="0" w:type="dxa"/>
            <w:left w:w="0" w:type="dxa"/>
            <w:bottom w:w="0" w:type="dxa"/>
            <w:right w:w="0" w:type="dxa"/>
          </w:tblCellMar>
        </w:tblPrEx>
        <w:trPr>
          <w:trHeight w:val="375" w:hRule="atLeast"/>
          <w:jc w:val="center"/>
        </w:trPr>
        <w:tc>
          <w:tcPr>
            <w:tcW w:w="8290" w:type="dxa"/>
            <w:gridSpan w:val="6"/>
            <w:tcBorders>
              <w:top w:val="nil"/>
              <w:left w:val="nil"/>
              <w:bottom w:val="nil"/>
              <w:right w:val="nil"/>
            </w:tcBorders>
            <w:shd w:val="clear" w:color="auto" w:fill="auto"/>
            <w:tcMar>
              <w:top w:w="15" w:type="dxa"/>
              <w:left w:w="15" w:type="dxa"/>
              <w:right w:w="15" w:type="dxa"/>
            </w:tcMar>
            <w:vAlign w:val="center"/>
          </w:tcPr>
          <w:p>
            <w:pPr>
              <w:ind w:firstLine="560"/>
              <w:rPr>
                <w:rFonts w:ascii="宋体" w:hAnsi="宋体" w:eastAsia="宋体"/>
              </w:rPr>
            </w:pPr>
            <w:r>
              <w:rPr>
                <w:rFonts w:hint="eastAsia" w:ascii="宋体" w:hAnsi="宋体" w:eastAsia="宋体"/>
              </w:rPr>
              <w:t>表3-1：公务费项目得分表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4.项目效益</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sz w:val="24"/>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30</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28</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98</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93%</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rPr>
              <w:t>98%</w:t>
            </w:r>
          </w:p>
        </w:tc>
      </w:tr>
    </w:tbl>
    <w:p>
      <w:pPr>
        <w:pStyle w:val="3"/>
        <w:ind w:firstLine="640"/>
      </w:pPr>
      <w:r>
        <w:rPr>
          <w:rFonts w:hint="eastAsia"/>
        </w:rPr>
        <w:t>四、绩效评价指标分析</w:t>
      </w:r>
    </w:p>
    <w:p>
      <w:pPr>
        <w:pStyle w:val="4"/>
        <w:ind w:firstLine="643"/>
      </w:pPr>
      <w:r>
        <w:rPr>
          <w:rFonts w:hint="eastAsia"/>
        </w:rPr>
        <w:t>（一）项目决策情况</w:t>
      </w:r>
    </w:p>
    <w:p>
      <w:pPr>
        <w:ind w:firstLine="560"/>
        <w:rPr>
          <w:rFonts w:ascii="仿宋" w:hAnsi="仿宋" w:eastAsia="仿宋"/>
        </w:rPr>
      </w:pPr>
      <w:r>
        <w:rPr>
          <w:rFonts w:hint="eastAsia" w:ascii="仿宋" w:hAnsi="仿宋" w:eastAsia="仿宋"/>
        </w:rPr>
        <w:t>项目决策由3个二级指标和6个三级指标构成，权重分20分，实际得分20分，各指标业绩值和绩效分值如表4</w:t>
      </w:r>
      <w:r>
        <w:rPr>
          <w:rFonts w:ascii="仿宋" w:hAnsi="仿宋" w:eastAsia="仿宋"/>
        </w:rPr>
        <w:t>-1</w:t>
      </w:r>
      <w:r>
        <w:rPr>
          <w:rFonts w:hint="eastAsia" w:ascii="仿宋" w:hAnsi="仿宋" w:eastAsia="仿宋"/>
        </w:rPr>
        <w:t>所示：</w:t>
      </w:r>
    </w:p>
    <w:p>
      <w:pPr>
        <w:keepNext/>
        <w:keepLines/>
        <w:ind w:firstLine="562"/>
        <w:jc w:val="center"/>
      </w:pPr>
      <w:r>
        <w:rPr>
          <w:rFonts w:hint="eastAsia"/>
          <w:b/>
          <w:bCs/>
          <w:color w:val="000000"/>
          <w:u w:color="000000"/>
          <w:lang w:val="zh-TW" w:eastAsia="zh-TW"/>
        </w:rPr>
        <w:t>表</w:t>
      </w:r>
      <w:r>
        <w:rPr>
          <w:rFonts w:hint="eastAsia"/>
          <w:b/>
          <w:bCs/>
          <w:color w:val="000000"/>
          <w:u w:color="000000"/>
        </w:rPr>
        <w:t>4</w:t>
      </w:r>
      <w:r>
        <w:rPr>
          <w:b/>
          <w:bCs/>
          <w:color w:val="000000"/>
          <w:u w:color="000000"/>
        </w:rPr>
        <w:t>-1</w:t>
      </w:r>
      <w:r>
        <w:rPr>
          <w:rFonts w:hint="eastAsia"/>
          <w:b/>
          <w:bCs/>
          <w:color w:val="000000"/>
          <w:u w:color="000000"/>
          <w:lang w:val="zh-TW" w:eastAsia="zh-TW"/>
        </w:rPr>
        <w:t>项目决策指标及分值</w:t>
      </w:r>
    </w:p>
    <w:tbl>
      <w:tblPr>
        <w:tblStyle w:val="12"/>
        <w:tblW w:w="8447" w:type="dxa"/>
        <w:jc w:val="center"/>
        <w:tblInd w:w="0" w:type="dxa"/>
        <w:tblLayout w:type="fixed"/>
        <w:tblCellMar>
          <w:top w:w="0" w:type="dxa"/>
          <w:left w:w="0" w:type="dxa"/>
          <w:bottom w:w="0" w:type="dxa"/>
          <w:right w:w="0" w:type="dxa"/>
        </w:tblCellMar>
      </w:tblPr>
      <w:tblGrid>
        <w:gridCol w:w="1077"/>
        <w:gridCol w:w="960"/>
        <w:gridCol w:w="1251"/>
        <w:gridCol w:w="794"/>
        <w:gridCol w:w="1871"/>
        <w:gridCol w:w="1417"/>
        <w:gridCol w:w="1077"/>
      </w:tblGrid>
      <w:tr>
        <w:tblPrEx>
          <w:tblLayout w:type="fixed"/>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分值</w:t>
            </w:r>
          </w:p>
        </w:tc>
        <w:tc>
          <w:tcPr>
            <w:tcW w:w="12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得分</w:t>
            </w:r>
          </w:p>
        </w:tc>
      </w:tr>
      <w:tr>
        <w:tblPrEx>
          <w:tblLayout w:type="fixed"/>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20</w:t>
            </w:r>
          </w:p>
        </w:tc>
        <w:tc>
          <w:tcPr>
            <w:tcW w:w="125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项目立项　</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p>
        </w:tc>
        <w:tc>
          <w:tcPr>
            <w:tcW w:w="125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3</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p>
        </w:tc>
        <w:tc>
          <w:tcPr>
            <w:tcW w:w="125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p>
        </w:tc>
        <w:tc>
          <w:tcPr>
            <w:tcW w:w="125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p>
        </w:tc>
        <w:tc>
          <w:tcPr>
            <w:tcW w:w="125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3</w:t>
            </w:r>
          </w:p>
        </w:tc>
      </w:tr>
      <w:tr>
        <w:tblPrEx>
          <w:tblLayout w:type="fixed"/>
          <w:tblCellMar>
            <w:top w:w="0" w:type="dxa"/>
            <w:left w:w="0" w:type="dxa"/>
            <w:bottom w:w="0" w:type="dxa"/>
            <w:right w:w="0" w:type="dxa"/>
          </w:tblCellMar>
        </w:tblPrEx>
        <w:trPr>
          <w:trHeight w:val="334" w:hRule="atLeast"/>
          <w:tblHeader/>
          <w:jc w:val="center"/>
        </w:trPr>
        <w:tc>
          <w:tcPr>
            <w:tcW w:w="32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合计</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20</w:t>
            </w:r>
          </w:p>
        </w:tc>
      </w:tr>
    </w:tbl>
    <w:p>
      <w:pPr>
        <w:pStyle w:val="4"/>
        <w:ind w:firstLine="643"/>
      </w:pPr>
      <w:r>
        <w:rPr>
          <w:rFonts w:hint="eastAsia"/>
        </w:rPr>
        <w:t>（二）项目过程情况</w:t>
      </w:r>
    </w:p>
    <w:p>
      <w:pPr>
        <w:ind w:firstLine="560"/>
        <w:rPr>
          <w:rFonts w:ascii="仿宋" w:hAnsi="仿宋" w:eastAsia="仿宋"/>
        </w:rPr>
      </w:pPr>
      <w:r>
        <w:rPr>
          <w:rFonts w:hint="eastAsia" w:ascii="仿宋" w:hAnsi="仿宋" w:eastAsia="仿宋"/>
        </w:rPr>
        <w:t>项目过程管理类指标由2个二级指标和5个三级指标构成，权重分20分，实际得分20分，各指标业绩值和绩效分值如表4</w:t>
      </w:r>
      <w:r>
        <w:rPr>
          <w:rFonts w:ascii="仿宋" w:hAnsi="仿宋" w:eastAsia="仿宋"/>
        </w:rPr>
        <w:t>-</w:t>
      </w:r>
      <w:r>
        <w:rPr>
          <w:rFonts w:hint="eastAsia" w:ascii="仿宋" w:hAnsi="仿宋" w:eastAsia="仿宋"/>
        </w:rPr>
        <w:t>2所示：</w:t>
      </w:r>
    </w:p>
    <w:p>
      <w:pPr>
        <w:ind w:firstLine="562"/>
        <w:jc w:val="center"/>
        <w:rPr>
          <w:b/>
          <w:bCs/>
          <w:color w:val="000000"/>
          <w:u w:color="000000"/>
        </w:rPr>
      </w:pPr>
      <w:r>
        <w:rPr>
          <w:rFonts w:hint="eastAsia"/>
          <w:b/>
          <w:bCs/>
          <w:color w:val="000000"/>
          <w:u w:color="000000"/>
          <w:lang w:val="zh-TW" w:eastAsia="zh-TW"/>
        </w:rPr>
        <w:t>表</w:t>
      </w:r>
      <w:r>
        <w:rPr>
          <w:rFonts w:hint="eastAsia"/>
          <w:b/>
          <w:bCs/>
          <w:color w:val="000000"/>
          <w:u w:color="000000"/>
        </w:rPr>
        <w:t>4</w:t>
      </w:r>
      <w:r>
        <w:rPr>
          <w:b/>
          <w:bCs/>
          <w:color w:val="000000"/>
          <w:u w:color="000000"/>
        </w:rPr>
        <w:t>-</w:t>
      </w:r>
      <w:r>
        <w:rPr>
          <w:rFonts w:hint="eastAsia"/>
          <w:b/>
          <w:bCs/>
          <w:color w:val="000000"/>
          <w:u w:color="000000"/>
        </w:rPr>
        <w:t>2</w:t>
      </w:r>
      <w:r>
        <w:rPr>
          <w:rFonts w:hint="eastAsia"/>
          <w:b/>
          <w:bCs/>
          <w:color w:val="000000"/>
          <w:u w:color="000000"/>
          <w:lang w:val="zh-TW" w:eastAsia="zh-TW"/>
        </w:rPr>
        <w:t>项目</w:t>
      </w:r>
      <w:r>
        <w:rPr>
          <w:rFonts w:hint="eastAsia"/>
          <w:b/>
          <w:bCs/>
          <w:color w:val="000000"/>
          <w:u w:color="000000"/>
          <w:lang w:val="zh-TW"/>
        </w:rPr>
        <w:t>管理</w:t>
      </w:r>
      <w:r>
        <w:rPr>
          <w:rFonts w:hint="eastAsia"/>
          <w:b/>
          <w:bCs/>
          <w:color w:val="000000"/>
          <w:u w:color="000000"/>
          <w:lang w:val="zh-TW" w:eastAsia="zh-TW"/>
        </w:rPr>
        <w:t>指标及分值</w:t>
      </w:r>
      <w:r>
        <w:rPr>
          <w:rFonts w:hint="eastAsia"/>
          <w:b/>
          <w:bCs/>
          <w:color w:val="000000"/>
          <w:u w:color="000000"/>
        </w:rPr>
        <w:t>情况</w:t>
      </w:r>
    </w:p>
    <w:tbl>
      <w:tblPr>
        <w:tblStyle w:val="12"/>
        <w:tblW w:w="8317" w:type="dxa"/>
        <w:jc w:val="center"/>
        <w:tblInd w:w="0" w:type="dxa"/>
        <w:tblLayout w:type="fixed"/>
        <w:tblCellMar>
          <w:top w:w="0" w:type="dxa"/>
          <w:left w:w="0" w:type="dxa"/>
          <w:bottom w:w="0" w:type="dxa"/>
          <w:right w:w="0" w:type="dxa"/>
        </w:tblCellMar>
      </w:tblPr>
      <w:tblGrid>
        <w:gridCol w:w="1182"/>
        <w:gridCol w:w="738"/>
        <w:gridCol w:w="1248"/>
        <w:gridCol w:w="1176"/>
        <w:gridCol w:w="1644"/>
        <w:gridCol w:w="1176"/>
        <w:gridCol w:w="1153"/>
      </w:tblGrid>
      <w:tr>
        <w:tblPrEx>
          <w:tblLayout w:type="fixed"/>
          <w:tblCellMar>
            <w:top w:w="0" w:type="dxa"/>
            <w:left w:w="0" w:type="dxa"/>
            <w:bottom w:w="0" w:type="dxa"/>
            <w:right w:w="0" w:type="dxa"/>
          </w:tblCellMar>
        </w:tblPrEx>
        <w:trPr>
          <w:trHeight w:val="23"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三级指标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12</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资金到位率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预算执行率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资金使用合规性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8</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管理制度健全性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rPr>
              <w:t>制度执行有效性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left"/>
              <w:textAlignment w:val="center"/>
              <w:rPr>
                <w:rFonts w:asciiTheme="minorEastAsia" w:hAnsiTheme="minorEastAsia" w:eastAsiaTheme="minorEastAsia" w:cstheme="minorEastAsia"/>
                <w:color w:val="000000"/>
                <w:sz w:val="24"/>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r>
    </w:tbl>
    <w:p>
      <w:pPr>
        <w:pStyle w:val="4"/>
        <w:numPr>
          <w:ilvl w:val="0"/>
          <w:numId w:val="3"/>
        </w:numPr>
        <w:ind w:firstLine="643"/>
      </w:pPr>
      <w:r>
        <w:rPr>
          <w:rFonts w:hint="eastAsia"/>
        </w:rPr>
        <w:t>项目产出情况</w:t>
      </w:r>
    </w:p>
    <w:p>
      <w:pPr>
        <w:pStyle w:val="3"/>
        <w:ind w:firstLine="640"/>
        <w:rPr>
          <w:rFonts w:hint="eastAsia" w:ascii="仿宋" w:hAnsi="仿宋" w:eastAsia="仿宋"/>
          <w:lang w:eastAsia="zh-CN"/>
        </w:rPr>
      </w:pPr>
      <w:r>
        <w:rPr>
          <w:rFonts w:hint="eastAsia" w:ascii="仿宋" w:hAnsi="仿宋" w:eastAsia="仿宋"/>
        </w:rPr>
        <w:t>项目产出类指标由4个二级指标和11个三级指标构成，权重分30分，实际得分30分</w:t>
      </w:r>
      <w:r>
        <w:rPr>
          <w:rFonts w:hint="eastAsia" w:ascii="仿宋" w:hAnsi="仿宋" w:eastAsia="仿宋"/>
          <w:lang w:eastAsia="zh-CN"/>
        </w:rPr>
        <w:t>。</w:t>
      </w:r>
    </w:p>
    <w:p>
      <w:pPr>
        <w:pStyle w:val="3"/>
        <w:ind w:firstLine="640"/>
      </w:pPr>
      <w:r>
        <w:rPr>
          <w:rFonts w:hint="eastAsia"/>
        </w:rPr>
        <w:t>五、主要经验及做法、存在的问题及原因分析</w:t>
      </w:r>
    </w:p>
    <w:p>
      <w:pPr>
        <w:pStyle w:val="4"/>
        <w:numPr>
          <w:ilvl w:val="0"/>
          <w:numId w:val="5"/>
        </w:numPr>
        <w:ind w:firstLine="643"/>
      </w:pPr>
      <w:bookmarkStart w:id="12" w:name="_Toc28290"/>
      <w:bookmarkStart w:id="13" w:name="_Toc1921"/>
      <w:r>
        <w:rPr>
          <w:rFonts w:hint="eastAsia"/>
        </w:rPr>
        <w:t>主要经验及做法</w:t>
      </w:r>
    </w:p>
    <w:p>
      <w:pPr>
        <w:ind w:firstLine="560"/>
        <w:rPr>
          <w:rFonts w:ascii="仿宋" w:hAnsi="仿宋" w:eastAsia="仿宋"/>
        </w:rPr>
      </w:pPr>
      <w:r>
        <w:rPr>
          <w:rFonts w:hint="eastAsia" w:ascii="仿宋" w:hAnsi="仿宋" w:eastAsia="仿宋"/>
        </w:rPr>
        <w:tab/>
      </w:r>
      <w:r>
        <w:rPr>
          <w:rFonts w:hint="eastAsia" w:ascii="仿宋" w:hAnsi="仿宋" w:eastAsia="仿宋"/>
        </w:rPr>
        <w:t>文体活动中心位于和田市中心，是大家业余休闲的好去处，中心经常会利用一些周末大家都有空余时间的机会，举办一些体育活动比赛， 让一些有共同体育爱好者有交流的机会，为大家在一起畅谈提供时机，同时与广泛听取市民的意见，要增设一些新项目，只是经费不足，不能解决这些要求，希望上级能考虑各种因素，加大对体育活动中心的投入。</w:t>
      </w:r>
    </w:p>
    <w:bookmarkEnd w:id="12"/>
    <w:bookmarkEnd w:id="13"/>
    <w:p>
      <w:pPr>
        <w:pStyle w:val="4"/>
        <w:numPr>
          <w:ilvl w:val="0"/>
          <w:numId w:val="5"/>
        </w:numPr>
        <w:ind w:firstLine="643"/>
      </w:pPr>
      <w:r>
        <w:rPr>
          <w:rFonts w:hint="eastAsia"/>
        </w:rPr>
        <w:t>存在的问题及原因分析</w:t>
      </w:r>
    </w:p>
    <w:p>
      <w:pPr>
        <w:ind w:firstLine="560"/>
        <w:rPr>
          <w:rFonts w:ascii="仿宋" w:hAnsi="仿宋" w:eastAsia="仿宋"/>
        </w:rPr>
      </w:pPr>
      <w:r>
        <w:rPr>
          <w:rFonts w:hint="eastAsia" w:ascii="仿宋" w:hAnsi="仿宋" w:eastAsia="仿宋"/>
        </w:rPr>
        <w:t>加强体育锻炼是全民的希望，也是丰富大家闲余生活的最好方式，各级部门要高度重视，把活动中心充分利用起来，把设备设施完善，增设一些新的项目来满足大家的要求，才能不断吸引大家的广泛兴趣和爱好 。</w:t>
      </w:r>
    </w:p>
    <w:p>
      <w:pPr>
        <w:pStyle w:val="3"/>
        <w:ind w:firstLine="640"/>
      </w:pPr>
      <w:r>
        <w:rPr>
          <w:rFonts w:hint="eastAsia"/>
        </w:rPr>
        <w:t>六、有关建议</w:t>
      </w:r>
    </w:p>
    <w:p>
      <w:pPr>
        <w:ind w:firstLine="560"/>
        <w:rPr>
          <w:rFonts w:ascii="仿宋" w:hAnsi="仿宋" w:eastAsia="仿宋"/>
        </w:rPr>
      </w:pPr>
      <w:r>
        <w:rPr>
          <w:rFonts w:hint="eastAsia" w:ascii="仿宋" w:hAnsi="仿宋" w:eastAsia="仿宋"/>
        </w:rPr>
        <w:t>希望和田地区各级部门高度文体活动，丰富全区人民的业余生活，增强身体素质，加强体育锻炼，促进各族民众文化交流交融，为我区的文化体育工作提高一个新的台阶。</w:t>
      </w:r>
    </w:p>
    <w:p>
      <w:pPr>
        <w:pStyle w:val="3"/>
        <w:ind w:firstLine="640"/>
      </w:pPr>
      <w:r>
        <w:rPr>
          <w:rFonts w:hint="eastAsia"/>
        </w:rPr>
        <w:t>七、其他需要说明的问题</w:t>
      </w:r>
    </w:p>
    <w:p>
      <w:pPr>
        <w:ind w:firstLine="560"/>
        <w:rPr>
          <w:rFonts w:ascii="仿宋" w:hAnsi="仿宋" w:eastAsia="仿宋"/>
        </w:rPr>
      </w:pPr>
      <w:r>
        <w:rPr>
          <w:rFonts w:hint="eastAsia" w:ascii="宋体" w:hAnsi="宋体" w:eastAsia="宋体"/>
        </w:rPr>
        <w:t xml:space="preserve"> </w:t>
      </w:r>
      <w:r>
        <w:rPr>
          <w:rFonts w:hint="eastAsia" w:ascii="仿宋" w:hAnsi="仿宋" w:eastAsia="仿宋"/>
        </w:rPr>
        <w:t>无其他说明内容。</w:t>
      </w:r>
    </w:p>
    <w:p>
      <w:pPr>
        <w:widowControl/>
        <w:spacing w:line="240" w:lineRule="auto"/>
        <w:ind w:firstLine="440" w:firstLineChars="0"/>
        <w:jc w:val="left"/>
        <w:rPr>
          <w:rFonts w:cs="宋体" w:asciiTheme="minorEastAsia" w:hAnsiTheme="minorEastAsia" w:eastAsiaTheme="minorEastAsia"/>
          <w:color w:val="000000"/>
          <w:kern w:val="0"/>
          <w:sz w:val="22"/>
          <w:szCs w:val="22"/>
        </w:rPr>
      </w:pPr>
    </w:p>
    <w:sectPr>
      <w:footerReference r:id="rId9" w:type="default"/>
      <w:pgSz w:w="16838" w:h="11906" w:orient="landscape"/>
      <w:pgMar w:top="1531" w:right="1928" w:bottom="1531" w:left="170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p>
                <w:pPr>
                  <w:pStyle w:val="8"/>
                  <w:ind w:firstLine="360"/>
                </w:pPr>
                <w:r>
                  <w:fldChar w:fldCharType="begin"/>
                </w:r>
                <w:r>
                  <w:instrText xml:space="preserve"> PAGE  \* MERGEFORMAT </w:instrText>
                </w:r>
                <w:r>
                  <w:fldChar w:fldCharType="separate"/>
                </w:r>
                <w:r>
                  <w:t>7</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3A7260C0"/>
    <w:multiLevelType w:val="multilevel"/>
    <w:tmpl w:val="3A7260C0"/>
    <w:lvl w:ilvl="0" w:tentative="0">
      <w:start w:val="1"/>
      <w:numFmt w:val="chineseCountingThousand"/>
      <w:pStyle w:val="1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68291A1A"/>
    <w:rsid w:val="000373EB"/>
    <w:rsid w:val="00081BB3"/>
    <w:rsid w:val="00091B9B"/>
    <w:rsid w:val="000C7178"/>
    <w:rsid w:val="000C798B"/>
    <w:rsid w:val="000E5D9D"/>
    <w:rsid w:val="00107BAB"/>
    <w:rsid w:val="0012422B"/>
    <w:rsid w:val="00126B1D"/>
    <w:rsid w:val="00135F62"/>
    <w:rsid w:val="00186B36"/>
    <w:rsid w:val="00196F2A"/>
    <w:rsid w:val="00243C39"/>
    <w:rsid w:val="00256036"/>
    <w:rsid w:val="002C2A8F"/>
    <w:rsid w:val="00304BFF"/>
    <w:rsid w:val="00322CA6"/>
    <w:rsid w:val="00326DF7"/>
    <w:rsid w:val="003552C4"/>
    <w:rsid w:val="003B4B28"/>
    <w:rsid w:val="003C16BB"/>
    <w:rsid w:val="003E3162"/>
    <w:rsid w:val="00424A80"/>
    <w:rsid w:val="004473E3"/>
    <w:rsid w:val="004F2EDF"/>
    <w:rsid w:val="00504929"/>
    <w:rsid w:val="00543C29"/>
    <w:rsid w:val="00572A32"/>
    <w:rsid w:val="005C76F4"/>
    <w:rsid w:val="006302FD"/>
    <w:rsid w:val="006801D8"/>
    <w:rsid w:val="00683FBB"/>
    <w:rsid w:val="006A6218"/>
    <w:rsid w:val="006D09AC"/>
    <w:rsid w:val="006D6444"/>
    <w:rsid w:val="00712131"/>
    <w:rsid w:val="0075294E"/>
    <w:rsid w:val="00776351"/>
    <w:rsid w:val="00790D0B"/>
    <w:rsid w:val="008056E5"/>
    <w:rsid w:val="00826DE4"/>
    <w:rsid w:val="00844B49"/>
    <w:rsid w:val="008F7589"/>
    <w:rsid w:val="009611E5"/>
    <w:rsid w:val="00970936"/>
    <w:rsid w:val="009B5A6C"/>
    <w:rsid w:val="009B5CF5"/>
    <w:rsid w:val="00A05A95"/>
    <w:rsid w:val="00A76AB3"/>
    <w:rsid w:val="00AA7EBF"/>
    <w:rsid w:val="00AB10FA"/>
    <w:rsid w:val="00AC6365"/>
    <w:rsid w:val="00B55368"/>
    <w:rsid w:val="00BE386F"/>
    <w:rsid w:val="00C37912"/>
    <w:rsid w:val="00C67D35"/>
    <w:rsid w:val="00C7742E"/>
    <w:rsid w:val="00C8487D"/>
    <w:rsid w:val="00C93C66"/>
    <w:rsid w:val="00D32216"/>
    <w:rsid w:val="00D3286E"/>
    <w:rsid w:val="00D34910"/>
    <w:rsid w:val="00D41CD7"/>
    <w:rsid w:val="00D51B61"/>
    <w:rsid w:val="00D92021"/>
    <w:rsid w:val="00E06360"/>
    <w:rsid w:val="00E12112"/>
    <w:rsid w:val="00F977DC"/>
    <w:rsid w:val="00FB5741"/>
    <w:rsid w:val="00FE5A93"/>
    <w:rsid w:val="01642890"/>
    <w:rsid w:val="027F14DF"/>
    <w:rsid w:val="03421379"/>
    <w:rsid w:val="04DE6B68"/>
    <w:rsid w:val="09A33B70"/>
    <w:rsid w:val="0CBF3542"/>
    <w:rsid w:val="0CE57393"/>
    <w:rsid w:val="0FF62C78"/>
    <w:rsid w:val="12F1313F"/>
    <w:rsid w:val="13921373"/>
    <w:rsid w:val="18A961D3"/>
    <w:rsid w:val="198D2572"/>
    <w:rsid w:val="1C480611"/>
    <w:rsid w:val="22173E60"/>
    <w:rsid w:val="245E1E24"/>
    <w:rsid w:val="273675D4"/>
    <w:rsid w:val="278D3B6E"/>
    <w:rsid w:val="2A1E5F8B"/>
    <w:rsid w:val="2C103347"/>
    <w:rsid w:val="2E483E7E"/>
    <w:rsid w:val="2E5724F8"/>
    <w:rsid w:val="332F7DDD"/>
    <w:rsid w:val="33944516"/>
    <w:rsid w:val="36185B49"/>
    <w:rsid w:val="42FE3854"/>
    <w:rsid w:val="4F733A2D"/>
    <w:rsid w:val="5D87634F"/>
    <w:rsid w:val="60937F5E"/>
    <w:rsid w:val="61EA3381"/>
    <w:rsid w:val="636D1879"/>
    <w:rsid w:val="68291A1A"/>
    <w:rsid w:val="691B1594"/>
    <w:rsid w:val="692808F0"/>
    <w:rsid w:val="6A297E90"/>
    <w:rsid w:val="6CC6252A"/>
    <w:rsid w:val="6F0D6C22"/>
    <w:rsid w:val="71911A95"/>
    <w:rsid w:val="753A4ADA"/>
    <w:rsid w:val="76D2301A"/>
    <w:rsid w:val="77861774"/>
    <w:rsid w:val="78F53C64"/>
    <w:rsid w:val="79300B45"/>
    <w:rsid w:val="79A17504"/>
    <w:rsid w:val="7A501236"/>
    <w:rsid w:val="7B2E5D51"/>
    <w:rsid w:val="7E354538"/>
    <w:rsid w:val="7E6174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0">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18"/>
    <w:qFormat/>
    <w:uiPriority w:val="0"/>
    <w:rPr>
      <w:b/>
      <w:bCs/>
    </w:rPr>
  </w:style>
  <w:style w:type="paragraph" w:styleId="6">
    <w:name w:val="annotation text"/>
    <w:basedOn w:val="1"/>
    <w:link w:val="17"/>
    <w:qFormat/>
    <w:uiPriority w:val="0"/>
    <w:pPr>
      <w:jc w:val="left"/>
    </w:pPr>
  </w:style>
  <w:style w:type="paragraph" w:styleId="7">
    <w:name w:val="Balloon Text"/>
    <w:basedOn w:val="1"/>
    <w:link w:val="16"/>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character" w:styleId="11">
    <w:name w:val="annotation reference"/>
    <w:basedOn w:val="10"/>
    <w:qFormat/>
    <w:uiPriority w:val="0"/>
    <w:rPr>
      <w:sz w:val="21"/>
      <w:szCs w:val="21"/>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5">
    <w:name w:val="标题2"/>
    <w:basedOn w:val="4"/>
    <w:qFormat/>
    <w:uiPriority w:val="0"/>
    <w:pPr>
      <w:numPr>
        <w:ilvl w:val="0"/>
        <w:numId w:val="1"/>
      </w:numPr>
      <w:spacing w:before="120" w:after="120" w:line="500" w:lineRule="exact"/>
    </w:pPr>
    <w:rPr>
      <w:rFonts w:ascii="仿宋_GB2312" w:eastAsia="仿宋_GB2312"/>
    </w:rPr>
  </w:style>
  <w:style w:type="character" w:customStyle="1" w:styleId="16">
    <w:name w:val="批注框文本 Char"/>
    <w:basedOn w:val="10"/>
    <w:link w:val="7"/>
    <w:qFormat/>
    <w:uiPriority w:val="0"/>
    <w:rPr>
      <w:rFonts w:eastAsia="仿宋_GB2312"/>
      <w:kern w:val="2"/>
      <w:sz w:val="18"/>
      <w:szCs w:val="18"/>
    </w:rPr>
  </w:style>
  <w:style w:type="character" w:customStyle="1" w:styleId="17">
    <w:name w:val="批注文字 Char"/>
    <w:basedOn w:val="10"/>
    <w:link w:val="6"/>
    <w:qFormat/>
    <w:uiPriority w:val="0"/>
    <w:rPr>
      <w:rFonts w:eastAsia="仿宋_GB2312"/>
      <w:kern w:val="2"/>
      <w:sz w:val="28"/>
      <w:szCs w:val="24"/>
    </w:rPr>
  </w:style>
  <w:style w:type="character" w:customStyle="1" w:styleId="18">
    <w:name w:val="批注主题 Char"/>
    <w:basedOn w:val="17"/>
    <w:link w:val="5"/>
    <w:qFormat/>
    <w:uiPriority w:val="0"/>
    <w:rPr>
      <w:rFonts w:eastAsia="仿宋_GB2312"/>
      <w:b/>
      <w:bCs/>
      <w:kern w:val="2"/>
      <w:sz w:val="28"/>
      <w:szCs w:val="24"/>
    </w:rPr>
  </w:style>
  <w:style w:type="paragraph" w:styleId="19">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A3E3DC-8B1C-4824-B849-E1244BD3F6B9}">
  <ds:schemaRefs/>
</ds:datastoreItem>
</file>

<file path=docProps/app.xml><?xml version="1.0" encoding="utf-8"?>
<Properties xmlns="http://schemas.openxmlformats.org/officeDocument/2006/extended-properties" xmlns:vt="http://schemas.openxmlformats.org/officeDocument/2006/docPropsVTypes">
  <Template>Normal</Template>
  <Company>电脑维修 数据恢复</Company>
  <Pages>1</Pages>
  <Words>1542</Words>
  <Characters>8792</Characters>
  <Lines>73</Lines>
  <Paragraphs>20</Paragraphs>
  <TotalTime>118</TotalTime>
  <ScaleCrop>false</ScaleCrop>
  <LinksUpToDate>false</LinksUpToDate>
  <CharactersWithSpaces>10314</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cp:lastPrinted>2020-05-08T08:47:00Z</cp:lastPrinted>
  <dcterms:modified xsi:type="dcterms:W3CDTF">2020-10-29T08:25:05Z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