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rPr>
          <w:rFonts w:ascii="黑体" w:hAnsi="黑体" w:eastAsia="黑体" w:cs="黑体"/>
          <w:b/>
          <w:bCs/>
          <w:sz w:val="36"/>
          <w:szCs w:val="36"/>
        </w:rPr>
      </w:pPr>
      <w:r>
        <w:rPr>
          <w:rFonts w:hint="eastAsia" w:ascii="黑体" w:hAnsi="黑体" w:eastAsia="黑体" w:cs="黑体"/>
          <w:b/>
          <w:bCs/>
          <w:sz w:val="36"/>
          <w:szCs w:val="36"/>
        </w:rPr>
        <w:t>活动中心运行维护经费项目支出绩效评价报告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sz w:val="30"/>
          <w:szCs w:val="30"/>
        </w:rPr>
      </w:pPr>
    </w:p>
    <w:p>
      <w:pPr>
        <w:spacing w:line="360" w:lineRule="auto"/>
        <w:ind w:firstLine="602"/>
        <w:rPr>
          <w:rFonts w:ascii="黑体" w:eastAsia="黑体"/>
          <w:b/>
          <w:sz w:val="30"/>
          <w:szCs w:val="30"/>
        </w:rPr>
      </w:pPr>
    </w:p>
    <w:p>
      <w:pPr>
        <w:spacing w:line="360" w:lineRule="auto"/>
        <w:ind w:firstLine="602"/>
        <w:rPr>
          <w:rFonts w:ascii="黑体" w:eastAsia="黑体"/>
          <w:b/>
          <w:sz w:val="30"/>
          <w:szCs w:val="30"/>
        </w:rPr>
      </w:pPr>
    </w:p>
    <w:p>
      <w:pPr>
        <w:spacing w:line="360" w:lineRule="auto"/>
        <w:ind w:firstLine="602"/>
        <w:rPr>
          <w:rFonts w:ascii="黑体" w:eastAsia="黑体"/>
          <w:b/>
          <w:sz w:val="30"/>
          <w:szCs w:val="30"/>
        </w:rPr>
      </w:pPr>
      <w:r>
        <w:rPr>
          <w:rFonts w:hint="eastAsia" w:ascii="黑体" w:eastAsia="黑体"/>
          <w:b/>
          <w:sz w:val="30"/>
          <w:szCs w:val="30"/>
        </w:rPr>
        <w:t>项目名称：活动中心运行维护经费</w:t>
      </w:r>
    </w:p>
    <w:p>
      <w:pPr>
        <w:spacing w:line="360" w:lineRule="auto"/>
        <w:ind w:firstLine="602"/>
        <w:rPr>
          <w:rFonts w:ascii="黑体" w:eastAsia="黑体"/>
          <w:b/>
          <w:sz w:val="30"/>
          <w:szCs w:val="30"/>
        </w:rPr>
      </w:pPr>
      <w:r>
        <w:rPr>
          <w:rFonts w:hint="eastAsia" w:ascii="黑体" w:eastAsia="黑体"/>
          <w:b/>
          <w:sz w:val="30"/>
          <w:szCs w:val="30"/>
        </w:rPr>
        <w:t>实施单位：和田地委老干部局</w:t>
      </w:r>
    </w:p>
    <w:p>
      <w:pPr>
        <w:spacing w:line="360" w:lineRule="auto"/>
        <w:ind w:firstLine="602"/>
        <w:rPr>
          <w:rFonts w:ascii="黑体" w:eastAsia="黑体"/>
          <w:b/>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sz w:val="30"/>
          <w:szCs w:val="30"/>
        </w:rPr>
        <w:t>主管部门：和田地委老干部局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活动中心运行维护经费项目支出绩效评价报告</w:t>
      </w:r>
    </w:p>
    <w:p>
      <w:pPr>
        <w:pStyle w:val="3"/>
        <w:ind w:firstLine="640"/>
      </w:pPr>
      <w:r>
        <w:rPr>
          <w:rFonts w:hint="eastAsia"/>
        </w:rPr>
        <w:t>一、基本情况</w:t>
      </w:r>
    </w:p>
    <w:p>
      <w:pPr>
        <w:pStyle w:val="4"/>
        <w:ind w:firstLine="643"/>
      </w:pPr>
      <w:r>
        <w:rPr>
          <w:rFonts w:hint="eastAsia"/>
        </w:rPr>
        <w:t>（一）项目概况</w:t>
      </w:r>
    </w:p>
    <w:p>
      <w:pPr>
        <w:ind w:firstLine="560"/>
      </w:pPr>
      <w:r>
        <w:rPr>
          <w:rFonts w:hint="eastAsia"/>
        </w:rPr>
        <w:t>和田地委老年活动中心大楼有七层总共使用面积为10119.47平方米，1-4层为老年人各项活动室及老年人学习电教室，5层为老干部局办公楼层，6-7层为篮球室及羽毛球室。财政每年拨付30万元活动中心运行维护经费。该笔活动经费确保使用在活动中心大楼的维护修缮、大楼环境保护、安保防护、活动室设备维护、更新、中心水电气物业正常缴纳等必须的开支。确保活动中心运行秩序及正常运行。</w:t>
      </w:r>
    </w:p>
    <w:p>
      <w:pPr>
        <w:pStyle w:val="2"/>
        <w:ind w:firstLine="562"/>
      </w:pPr>
      <w:r>
        <w:rPr>
          <w:rFonts w:hint="eastAsia"/>
        </w:rPr>
        <w:t>1.项目背景</w:t>
      </w:r>
    </w:p>
    <w:p>
      <w:pPr>
        <w:ind w:firstLine="560"/>
      </w:pPr>
      <w:r>
        <w:rPr>
          <w:rFonts w:hint="eastAsia"/>
        </w:rPr>
        <w:t>老干部老年人活动中心动大楼的日常维护维修，环境保障，活动室的器材设备正常运转及日常管理，确保活动中心良好运行，保障老干部老年人正常的文娱及教育活动正常开展，财政每年拨付30万元活动中心运行维护经费。</w:t>
      </w:r>
    </w:p>
    <w:p>
      <w:pPr>
        <w:pStyle w:val="2"/>
        <w:ind w:firstLine="562"/>
      </w:pPr>
      <w:r>
        <w:rPr>
          <w:rFonts w:hint="eastAsia"/>
        </w:rPr>
        <w:t>2、项目实施主体</w:t>
      </w:r>
    </w:p>
    <w:p>
      <w:pPr>
        <w:numPr>
          <w:ilvl w:val="0"/>
          <w:numId w:val="2"/>
        </w:numPr>
        <w:ind w:firstLine="562"/>
        <w:rPr>
          <w:b/>
          <w:bCs/>
        </w:rPr>
      </w:pPr>
      <w:r>
        <w:rPr>
          <w:rFonts w:hint="eastAsia"/>
          <w:b/>
          <w:bCs/>
        </w:rPr>
        <w:t>基本情况：</w:t>
      </w:r>
    </w:p>
    <w:p>
      <w:pPr>
        <w:ind w:firstLine="560"/>
      </w:pPr>
      <w:r>
        <w:rPr>
          <w:rFonts w:hint="eastAsia"/>
        </w:rPr>
        <w:t>地委老干部局是和田地委综合管理全地区老干部工作的部门。</w:t>
      </w:r>
    </w:p>
    <w:p>
      <w:pPr>
        <w:pStyle w:val="2"/>
        <w:ind w:firstLine="546"/>
      </w:pPr>
      <w:r>
        <w:rPr>
          <w:rStyle w:val="11"/>
          <w:rFonts w:hint="eastAsia" w:ascii="楷体" w:hAnsi="楷体" w:eastAsia="楷体"/>
          <w:b/>
          <w:bCs w:val="0"/>
          <w:spacing w:val="-4"/>
        </w:rPr>
        <w:t>二、部门职能：</w:t>
      </w:r>
    </w:p>
    <w:p>
      <w:pPr>
        <w:ind w:firstLine="560"/>
      </w:pPr>
      <w:r>
        <w:rPr>
          <w:rFonts w:hint="eastAsia"/>
        </w:rPr>
        <w:t>1、研究、制定、落实中央和自治区党委有关老干部工作事业发展战略及重大决策、法规的具体办法，协调推动有关部门实施老干部工作发展规划，积极协调各级党委老干部工作部门和有关单位做好老干部工作。</w:t>
      </w:r>
    </w:p>
    <w:p>
      <w:pPr>
        <w:ind w:firstLine="560"/>
      </w:pPr>
      <w:r>
        <w:rPr>
          <w:rFonts w:hint="eastAsia"/>
        </w:rPr>
        <w:t>2、负责全地区老干部工作宏观指导和综合管理，组织、协调、指导、督促有关部门做好老年人权益保障工作；</w:t>
      </w:r>
    </w:p>
    <w:p>
      <w:pPr>
        <w:ind w:firstLine="560"/>
      </w:pPr>
      <w:r>
        <w:rPr>
          <w:rFonts w:hint="eastAsia"/>
        </w:rPr>
        <w:t>3、指导、督促和检查各部门、各单位的老干部工作，负责老干部工作对外交流活动；</w:t>
      </w:r>
    </w:p>
    <w:p>
      <w:pPr>
        <w:ind w:firstLine="560"/>
      </w:pPr>
      <w:r>
        <w:rPr>
          <w:rFonts w:hint="eastAsia"/>
        </w:rPr>
        <w:t>4、协调和推动有关部门加强对老干部工作宏观指导和综合管理，推动开展有利于老年人身心健康的各种活动；</w:t>
      </w:r>
    </w:p>
    <w:p>
      <w:pPr>
        <w:ind w:firstLine="560"/>
      </w:pPr>
      <w:r>
        <w:rPr>
          <w:rFonts w:hint="eastAsia"/>
        </w:rPr>
        <w:t>5、承办地委交办的其他事项；</w:t>
      </w:r>
    </w:p>
    <w:p>
      <w:pPr>
        <w:pStyle w:val="2"/>
        <w:tabs>
          <w:tab w:val="left" w:pos="5255"/>
        </w:tabs>
        <w:ind w:firstLine="562"/>
      </w:pPr>
      <w:r>
        <w:rPr>
          <w:rFonts w:hint="eastAsia"/>
        </w:rPr>
        <w:t>3.项目组织结构</w:t>
      </w:r>
      <w:r>
        <w:rPr>
          <w:rFonts w:hint="eastAsia"/>
        </w:rPr>
        <w:tab/>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pPr>
      <w:r>
        <w:rPr>
          <w:rFonts w:hint="eastAsia"/>
        </w:rPr>
        <w:t>该项目资金主要用于活动中心组织老年人集中正常活动，保障活动中心的正常维护修缮，保障中心水电费的使用，保障活动中心清洁用品娱乐用品的正常使用。为老年人搭建一个干净、安全的娱乐平台。</w:t>
      </w:r>
    </w:p>
    <w:p>
      <w:pPr>
        <w:ind w:firstLine="562"/>
        <w:rPr>
          <w:b/>
          <w:bCs/>
        </w:rPr>
      </w:pPr>
      <w:r>
        <w:rPr>
          <w:rFonts w:hint="eastAsia"/>
          <w:b/>
          <w:bCs/>
        </w:rPr>
        <w:t>5、资金投入和使用情况</w:t>
      </w:r>
    </w:p>
    <w:p>
      <w:pPr>
        <w:ind w:firstLine="560"/>
      </w:pPr>
      <w:r>
        <w:rPr>
          <w:rFonts w:hint="eastAsia"/>
        </w:rPr>
        <w:t>（1）项目资金安排落实、总投入等情况分析</w:t>
      </w:r>
    </w:p>
    <w:p>
      <w:pPr>
        <w:ind w:firstLine="560"/>
      </w:pPr>
      <w:r>
        <w:rPr>
          <w:rFonts w:hint="eastAsia"/>
        </w:rPr>
        <w:t>活动中心支行维护经费项目预算安排总额为30万元，其中财政资金30万元，其他资金0万元，2019年实际收到预算资金30万元，预算资金到位率为100%。</w:t>
      </w:r>
    </w:p>
    <w:p>
      <w:pPr>
        <w:numPr>
          <w:ilvl w:val="0"/>
          <w:numId w:val="3"/>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30万元，预算执行率100%。项目资金主要用于支付费组织老干部局集中活动经费控制在2万元，活动中心的维护修缮经费控制在8万元，保障活动中心的水电费开支控制在10万元。工勤及安保人员的工资保障10万元。</w:t>
      </w:r>
    </w:p>
    <w:p>
      <w:pPr>
        <w:pStyle w:val="4"/>
        <w:ind w:firstLine="643"/>
      </w:pPr>
      <w:r>
        <w:rPr>
          <w:rFonts w:hint="eastAsia"/>
        </w:rPr>
        <w:t>（二）项目绩效目标</w:t>
      </w:r>
    </w:p>
    <w:p>
      <w:pPr>
        <w:pStyle w:val="2"/>
        <w:ind w:firstLine="562"/>
      </w:pPr>
      <w:r>
        <w:rPr>
          <w:rFonts w:hint="eastAsia"/>
        </w:rPr>
        <w:t>1.总体目标</w:t>
      </w:r>
    </w:p>
    <w:p>
      <w:pPr>
        <w:ind w:firstLine="560"/>
      </w:pPr>
      <w:r>
        <w:rPr>
          <w:rFonts w:hint="eastAsia"/>
        </w:rPr>
        <w:t>本年度本年度地委老干部局以习近平新时代中国特色社会主义思想为指导，贯彻落实党的治疆方略，社会稳定和 长治久安总目标，坚持以人为本的服务理念，切实提高老干部工作质量：确保活动中心各项设备及活动场所正常运行；用心用情服务好老干部；积极组织开展增添正能量活动，丰富充实老同志精神文化生活，积极组织老年人参加精神文化生活活动人数500人次，离退休老干部承担力所能及的责任，发挥余热；活动中心大楼的维护修缮要起到保障作用，每年保障2次维护维修，保障活动中心设备设施的完全运行；保障活动中心清洁工资发放。</w:t>
      </w:r>
    </w:p>
    <w:p>
      <w:pPr>
        <w:ind w:firstLine="562"/>
        <w:rPr>
          <w:b/>
          <w:bCs/>
        </w:rPr>
      </w:pPr>
      <w:r>
        <w:rPr>
          <w:rFonts w:hint="eastAsia"/>
          <w:b/>
          <w:bCs/>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“组织老干部老年人集中活动场次（次）”指标，预期指标值为≥</w:t>
      </w:r>
      <w:r>
        <w:t>2</w:t>
      </w:r>
      <w:r>
        <w:rPr>
          <w:rFonts w:hint="eastAsia"/>
        </w:rPr>
        <w:t>；</w:t>
      </w:r>
    </w:p>
    <w:p>
      <w:pPr>
        <w:ind w:firstLine="560"/>
      </w:pPr>
      <w:r>
        <w:rPr>
          <w:rFonts w:hint="eastAsia"/>
        </w:rPr>
        <w:t>“组织老年人参加活动人数（人）”指标，预期指标值为≥</w:t>
      </w:r>
      <w:r>
        <w:t>500</w:t>
      </w:r>
      <w:r>
        <w:rPr>
          <w:rFonts w:hint="eastAsia"/>
        </w:rPr>
        <w:t>。</w:t>
      </w:r>
    </w:p>
    <w:p>
      <w:pPr>
        <w:ind w:firstLine="560"/>
      </w:pPr>
      <w:r>
        <w:rPr>
          <w:rFonts w:hint="eastAsia"/>
        </w:rPr>
        <w:t>“活动中心维护修缮保障次数（次）”指标，预期指标值为≥</w:t>
      </w:r>
      <w:r>
        <w:t>2</w:t>
      </w:r>
      <w:r>
        <w:rPr>
          <w:rFonts w:hint="eastAsia"/>
        </w:rPr>
        <w:t>。</w:t>
      </w:r>
    </w:p>
    <w:p>
      <w:pPr>
        <w:ind w:firstLine="560"/>
      </w:pPr>
      <w:r>
        <w:rPr>
          <w:rFonts w:hint="eastAsia"/>
        </w:rPr>
        <w:t>②质量指标</w:t>
      </w:r>
    </w:p>
    <w:p>
      <w:pPr>
        <w:ind w:firstLine="560"/>
      </w:pPr>
      <w:r>
        <w:rPr>
          <w:rFonts w:hint="eastAsia"/>
        </w:rPr>
        <w:t>“活动中心正常运转率（%）”指标，预期指标值为≥</w:t>
      </w:r>
      <w:r>
        <w:t>90</w:t>
      </w:r>
      <w:r>
        <w:rPr>
          <w:rFonts w:hint="eastAsia"/>
        </w:rPr>
        <w:t>%；</w:t>
      </w:r>
    </w:p>
    <w:p>
      <w:pPr>
        <w:ind w:firstLine="560"/>
      </w:pPr>
      <w:r>
        <w:rPr>
          <w:rFonts w:hint="eastAsia"/>
        </w:rPr>
        <w:t>“活动中心维修验收合格率（%）”指标，预期指标值为≥</w:t>
      </w:r>
      <w:r>
        <w:t>90</w:t>
      </w:r>
      <w:r>
        <w:rPr>
          <w:rFonts w:hint="eastAsia"/>
        </w:rPr>
        <w:t>%</w:t>
      </w:r>
    </w:p>
    <w:p>
      <w:pPr>
        <w:ind w:firstLine="560"/>
      </w:pPr>
      <w:r>
        <w:rPr>
          <w:rFonts w:hint="eastAsia"/>
        </w:rPr>
        <w:t>“活动中心环境整洁检查合格率（%）”指标，预期指标值为≥</w:t>
      </w:r>
      <w:r>
        <w:t>99</w:t>
      </w:r>
      <w:r>
        <w:rPr>
          <w:rFonts w:hint="eastAsia"/>
        </w:rPr>
        <w:t>%</w:t>
      </w:r>
    </w:p>
    <w:p>
      <w:pPr>
        <w:ind w:firstLine="560"/>
      </w:pPr>
      <w:r>
        <w:rPr>
          <w:rFonts w:hint="eastAsia"/>
        </w:rPr>
        <w:t>“清洁出勤率（%）”指标，预期指标值为</w:t>
      </w:r>
      <w:r>
        <w:t>100</w:t>
      </w:r>
      <w:r>
        <w:rPr>
          <w:rFonts w:hint="eastAsia"/>
        </w:rPr>
        <w:t>%</w:t>
      </w:r>
    </w:p>
    <w:p>
      <w:pPr>
        <w:ind w:firstLine="560"/>
      </w:pPr>
      <w:r>
        <w:rPr>
          <w:rFonts w:hint="eastAsia"/>
        </w:rPr>
        <w:t>③时效指标</w:t>
      </w:r>
    </w:p>
    <w:p>
      <w:pPr>
        <w:ind w:firstLine="560"/>
      </w:pPr>
      <w:r>
        <w:rPr>
          <w:rFonts w:hint="eastAsia"/>
        </w:rPr>
        <w:t>“活动中心大楼维护修缮时限”指标，预期指标值为半年1次；</w:t>
      </w:r>
    </w:p>
    <w:p>
      <w:pPr>
        <w:ind w:firstLine="560"/>
      </w:pPr>
      <w:r>
        <w:rPr>
          <w:rFonts w:hint="eastAsia"/>
        </w:rPr>
        <w:t>“老干部老年人集中活动按时完成率（%）”指标，预期指标值为100%；</w:t>
      </w:r>
    </w:p>
    <w:p>
      <w:pPr>
        <w:ind w:firstLine="560"/>
      </w:pPr>
      <w:r>
        <w:rPr>
          <w:rFonts w:hint="eastAsia"/>
        </w:rPr>
        <w:t>“活动经费兑付及时率（%）”指标，预期指标值为100%</w:t>
      </w:r>
    </w:p>
    <w:p>
      <w:pPr>
        <w:ind w:firstLine="560"/>
      </w:pPr>
      <w:r>
        <w:rPr>
          <w:rFonts w:hint="eastAsia"/>
        </w:rPr>
        <w:t>“工资发放及时率（%）”指标，预期指标值为100%；</w:t>
      </w:r>
    </w:p>
    <w:p>
      <w:pPr>
        <w:ind w:firstLine="560"/>
      </w:pPr>
      <w:r>
        <w:rPr>
          <w:rFonts w:hint="eastAsia"/>
        </w:rPr>
        <w:t>④成本指标</w:t>
      </w:r>
    </w:p>
    <w:p>
      <w:pPr>
        <w:ind w:firstLine="560"/>
      </w:pPr>
      <w:r>
        <w:rPr>
          <w:rFonts w:hint="eastAsia"/>
        </w:rPr>
        <w:t>“组织老干部活动经费（万元）”指标，预期指标值为≤2。</w:t>
      </w:r>
    </w:p>
    <w:p>
      <w:pPr>
        <w:ind w:firstLine="560"/>
      </w:pPr>
      <w:r>
        <w:rPr>
          <w:rFonts w:hint="eastAsia"/>
        </w:rPr>
        <w:t>“活动中心大楼维护修缮经费（万元）”指标，预期指标值为≤8。</w:t>
      </w:r>
    </w:p>
    <w:p>
      <w:pPr>
        <w:ind w:firstLine="560"/>
      </w:pPr>
      <w:r>
        <w:rPr>
          <w:rFonts w:hint="eastAsia"/>
        </w:rPr>
        <w:t>“活动中心水、电、清洁经费（万元）”指标，预期指标值为≤10。</w:t>
      </w:r>
    </w:p>
    <w:p>
      <w:pPr>
        <w:ind w:firstLine="560"/>
      </w:pPr>
      <w:r>
        <w:rPr>
          <w:rFonts w:hint="eastAsia"/>
        </w:rPr>
        <w:t>“活动中心清洁</w:t>
      </w:r>
      <w:bookmarkStart w:id="14" w:name="_GoBack"/>
      <w:bookmarkEnd w:id="14"/>
      <w:r>
        <w:rPr>
          <w:rFonts w:hint="eastAsia"/>
        </w:rPr>
        <w:t>（万元）”指标，预期指标值为≤10。</w:t>
      </w:r>
    </w:p>
    <w:p>
      <w:pPr>
        <w:ind w:firstLine="560"/>
      </w:pPr>
      <w:r>
        <w:rPr>
          <w:rFonts w:hint="eastAsia"/>
        </w:rPr>
        <w:t>（2）项目效益目标</w:t>
      </w:r>
    </w:p>
    <w:p>
      <w:pPr>
        <w:ind w:firstLine="560"/>
      </w:pPr>
      <w:r>
        <w:rPr>
          <w:rFonts w:hint="eastAsia"/>
        </w:rPr>
        <w:t>①经济效益指标</w:t>
      </w:r>
    </w:p>
    <w:p>
      <w:pPr>
        <w:ind w:firstLine="560"/>
      </w:pPr>
      <w:r>
        <w:rPr>
          <w:rFonts w:hint="eastAsia"/>
        </w:rPr>
        <w:t>“活动中心设施完好率（%）”指标，预期指标值为100%；</w:t>
      </w:r>
    </w:p>
    <w:p>
      <w:pPr>
        <w:ind w:firstLine="560"/>
      </w:pPr>
      <w:r>
        <w:rPr>
          <w:rFonts w:hint="eastAsia"/>
        </w:rPr>
        <w:t>②社会效益指标</w:t>
      </w:r>
    </w:p>
    <w:p>
      <w:pPr>
        <w:ind w:firstLine="560"/>
      </w:pPr>
      <w:r>
        <w:rPr>
          <w:rFonts w:hint="eastAsia"/>
        </w:rPr>
        <w:t>“老年人晚年生活幸福指数度（%）”指标，预期指标值为≥95%；</w:t>
      </w:r>
    </w:p>
    <w:p>
      <w:pPr>
        <w:ind w:firstLine="560"/>
      </w:pPr>
      <w:r>
        <w:rPr>
          <w:rFonts w:hint="eastAsia"/>
        </w:rPr>
        <w:t>“保障活动中心正常运转”指标，预期指标值为有效保障。；</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“丰富老干部精神生活”指标，预期指标值为长期；</w:t>
      </w:r>
    </w:p>
    <w:p>
      <w:pPr>
        <w:ind w:firstLine="560"/>
      </w:pPr>
      <w:r>
        <w:rPr>
          <w:rFonts w:hint="eastAsia"/>
        </w:rPr>
        <w:t>④满意度指标</w:t>
      </w:r>
    </w:p>
    <w:p>
      <w:pPr>
        <w:ind w:firstLine="560"/>
      </w:pPr>
      <w:r>
        <w:rPr>
          <w:rFonts w:hint="eastAsia"/>
        </w:rPr>
        <w:t>“老干部满意度”指标，预期指标值为≥95%。</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12868"/>
      <w:bookmarkStart w:id="1" w:name="_Toc22922"/>
      <w:bookmarkStart w:id="2" w:name="_Toc21664"/>
      <w:bookmarkStart w:id="3" w:name="_Toc5258"/>
      <w:bookmarkStart w:id="4" w:name="_Toc26632"/>
      <w:bookmarkStart w:id="5" w:name="_Toc5462343"/>
      <w:bookmarkStart w:id="6" w:name="_Toc480473081"/>
      <w:bookmarkStart w:id="7" w:name="_Toc22169_WPSOffice_Level2"/>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w:t>
      </w:r>
      <w:r>
        <w:rPr>
          <w:rFonts w:hint="eastAsia"/>
          <w:lang w:eastAsia="zh-CN"/>
        </w:rPr>
        <w:t>相关规定</w:t>
      </w:r>
      <w:r>
        <w:rPr>
          <w:rFonts w:hint="eastAsia"/>
        </w:rPr>
        <w:t>要求</w:t>
      </w:r>
      <w:r>
        <w:rPr>
          <w:rFonts w:hint="eastAsia"/>
          <w:lang w:eastAsia="zh-CN"/>
        </w:rPr>
        <w:t>，</w:t>
      </w:r>
      <w:r>
        <w:rPr>
          <w:rFonts w:hint="eastAsia"/>
        </w:rPr>
        <w:t>对2019年度我单位实施的学习考察经费项目开展部门绩效评价，本次绩效评价主要围绕项目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等要求，本次绩效评价秉承科学规范、公正公开、分级分类、绩效相关等原则，按照从投入、过程到产出效果和影响的绩效逻辑路径，结合学习考察经费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428278230"/>
      <w:bookmarkStart w:id="9" w:name="_Toc1913"/>
      <w:bookmarkStart w:id="10" w:name="_Toc419984722"/>
      <w:bookmarkStart w:id="11" w:name="_Toc26131"/>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r>
        <w:rPr>
          <w:rFonts w:hint="eastAsia"/>
        </w:rPr>
        <w:t>本次评价设计了评价方案、评价指标体系，通过资料分析、调研、访谈满意度调查等方式形成评价结论，确定评价意见，并出具评价报告。　</w:t>
      </w:r>
    </w:p>
    <w:p>
      <w:pPr>
        <w:ind w:firstLine="560"/>
      </w:pPr>
    </w:p>
    <w:p>
      <w:pPr>
        <w:pStyle w:val="3"/>
        <w:numPr>
          <w:ilvl w:val="0"/>
          <w:numId w:val="6"/>
        </w:numPr>
        <w:ind w:firstLine="640"/>
      </w:pPr>
      <w:r>
        <w:rPr>
          <w:rFonts w:hint="eastAsia"/>
        </w:rPr>
        <w:t>综合评价情况及评价结论</w:t>
      </w:r>
    </w:p>
    <w:p>
      <w:pPr>
        <w:pStyle w:val="3"/>
        <w:ind w:firstLine="640"/>
        <w:rPr>
          <w:rFonts w:hint="eastAsia"/>
          <w:lang w:val="zh-TW" w:eastAsia="zh-CN"/>
        </w:rPr>
      </w:pPr>
      <w:r>
        <w:rPr>
          <w:rFonts w:hint="eastAsia" w:ascii="Times New Roman" w:hAnsi="Times New Roman" w:eastAsia="仿宋_GB2312" w:cs="Times New Roman"/>
          <w:kern w:val="2"/>
          <w:sz w:val="28"/>
          <w:szCs w:val="24"/>
          <w:lang w:val="en-US" w:eastAsia="zh-CN" w:bidi="ar-SA"/>
        </w:rPr>
        <w:t>此次绩效评价</w:t>
      </w:r>
      <w:r>
        <w:rPr>
          <w:rFonts w:hint="eastAsia" w:ascii="Times New Roman" w:hAnsi="Times New Roman" w:eastAsia="仿宋_GB2312" w:cs="Times New Roman"/>
          <w:kern w:val="2"/>
          <w:sz w:val="28"/>
          <w:szCs w:val="24"/>
          <w:lang w:val="zh-TW" w:eastAsia="zh-TW" w:bidi="ar-SA"/>
        </w:rPr>
        <w:t>通过组论证的评价指标体系及评分标准，</w:t>
      </w:r>
      <w:r>
        <w:rPr>
          <w:rFonts w:hint="eastAsia" w:ascii="Times New Roman" w:hAnsi="Times New Roman" w:eastAsia="仿宋_GB2312" w:cs="Times New Roman"/>
          <w:kern w:val="2"/>
          <w:sz w:val="28"/>
          <w:szCs w:val="24"/>
          <w:lang w:val="en-US" w:eastAsia="zh-CN" w:bidi="ar-SA"/>
        </w:rPr>
        <w:t>采用的方法比较法、公众评判法，</w:t>
      </w:r>
      <w:r>
        <w:rPr>
          <w:rFonts w:hint="eastAsia" w:ascii="Times New Roman" w:hAnsi="Times New Roman" w:eastAsia="仿宋_GB2312" w:cs="Times New Roman"/>
          <w:kern w:val="2"/>
          <w:sz w:val="28"/>
          <w:szCs w:val="24"/>
          <w:lang w:val="zh-TW" w:eastAsia="zh-TW" w:bidi="ar-SA"/>
        </w:rPr>
        <w:t>对</w:t>
      </w:r>
      <w:r>
        <w:rPr>
          <w:rFonts w:hint="eastAsia" w:ascii="Times New Roman" w:hAnsi="Times New Roman" w:eastAsia="仿宋_GB2312" w:cs="Times New Roman"/>
          <w:kern w:val="2"/>
          <w:sz w:val="28"/>
          <w:szCs w:val="24"/>
          <w:lang w:val="en-US" w:eastAsia="zh-CN" w:bidi="ar-SA"/>
        </w:rPr>
        <w:t>学习考察经费项目</w:t>
      </w:r>
      <w:r>
        <w:rPr>
          <w:rFonts w:hint="eastAsia" w:ascii="Times New Roman" w:hAnsi="Times New Roman" w:eastAsia="仿宋_GB2312" w:cs="Times New Roman"/>
          <w:kern w:val="2"/>
          <w:sz w:val="28"/>
          <w:szCs w:val="24"/>
          <w:lang w:val="zh-TW" w:eastAsia="zh-TW" w:bidi="ar-SA"/>
        </w:rPr>
        <w:t>绩效进行客观评价，最终评分结果：总分为</w:t>
      </w:r>
      <w:r>
        <w:rPr>
          <w:rFonts w:hint="eastAsia" w:ascii="Times New Roman" w:hAnsi="Times New Roman" w:eastAsia="仿宋_GB2312" w:cs="Times New Roman"/>
          <w:kern w:val="2"/>
          <w:sz w:val="28"/>
          <w:szCs w:val="24"/>
          <w:lang w:val="en-US" w:eastAsia="zh-CN" w:bidi="ar-SA"/>
        </w:rPr>
        <w:t>93</w:t>
      </w:r>
      <w:r>
        <w:rPr>
          <w:rFonts w:hint="eastAsia" w:ascii="Times New Roman" w:hAnsi="Times New Roman" w:eastAsia="仿宋_GB2312" w:cs="Times New Roman"/>
          <w:kern w:val="2"/>
          <w:sz w:val="28"/>
          <w:szCs w:val="24"/>
          <w:lang w:val="zh-TW" w:eastAsia="zh-TW" w:bidi="ar-SA"/>
        </w:rPr>
        <w:t>分</w:t>
      </w:r>
      <w:r>
        <w:rPr>
          <w:rFonts w:hint="eastAsia" w:ascii="Times New Roman" w:hAnsi="Times New Roman" w:eastAsia="仿宋_GB2312" w:cs="Times New Roman"/>
          <w:kern w:val="2"/>
          <w:sz w:val="28"/>
          <w:szCs w:val="24"/>
          <w:lang w:val="zh-TW" w:eastAsia="zh-CN" w:bidi="ar-SA"/>
        </w:rPr>
        <w:t>。</w:t>
      </w:r>
    </w:p>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3"/>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jc w:val="center"/>
        </w:trPr>
        <w:tc>
          <w:tcPr>
            <w:tcW w:w="1077"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jc w:val="center"/>
        </w:trPr>
        <w:tc>
          <w:tcPr>
            <w:tcW w:w="1077"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20</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3"/>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numPr>
          <w:ilvl w:val="0"/>
          <w:numId w:val="5"/>
        </w:numPr>
        <w:ind w:firstLine="643"/>
      </w:pPr>
      <w:r>
        <w:rPr>
          <w:rFonts w:hint="eastAsia"/>
        </w:rPr>
        <w:t>项目产出情况</w:t>
      </w:r>
    </w:p>
    <w:p>
      <w:pPr>
        <w:pStyle w:val="4"/>
        <w:numPr>
          <w:ilvl w:val="0"/>
          <w:numId w:val="0"/>
        </w:numPr>
        <w:ind w:firstLine="560" w:firstLineChars="200"/>
      </w:pPr>
      <w:r>
        <w:rPr>
          <w:rFonts w:hint="eastAsia" w:ascii="Times New Roman" w:hAnsi="Times New Roman" w:eastAsia="仿宋_GB2312" w:cs="Times New Roman"/>
          <w:b w:val="0"/>
          <w:color w:val="000000"/>
          <w:kern w:val="2"/>
          <w:sz w:val="28"/>
          <w:szCs w:val="24"/>
          <w:u w:color="000000"/>
          <w:lang w:val="zh-TW" w:eastAsia="zh-TW" w:bidi="ar-SA"/>
        </w:rPr>
        <w:t>项目产出类指标由4个二级指标和16个三级指标构成，权重分30分，实际得分27分</w:t>
      </w:r>
      <w:r>
        <w:rPr>
          <w:rFonts w:hint="eastAsia"/>
          <w:color w:val="000000"/>
          <w:u w:color="000000"/>
          <w:lang w:val="zh-TW" w:eastAsia="zh-CN"/>
        </w:rPr>
        <w:t>。</w:t>
      </w:r>
    </w:p>
    <w:p>
      <w:pPr>
        <w:pStyle w:val="4"/>
        <w:numPr>
          <w:ilvl w:val="0"/>
          <w:numId w:val="5"/>
        </w:numPr>
        <w:ind w:firstLine="643"/>
      </w:pP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类指标由4个二级指标和</w:t>
      </w:r>
      <w:r>
        <w:rPr>
          <w:rFonts w:hint="eastAsia"/>
          <w:color w:val="000000"/>
          <w:u w:color="000000"/>
        </w:rPr>
        <w:t>5</w:t>
      </w:r>
      <w:r>
        <w:rPr>
          <w:rFonts w:hint="eastAsia"/>
          <w:color w:val="000000"/>
          <w:u w:color="000000"/>
          <w:lang w:val="zh-TW" w:eastAsia="zh-TW"/>
        </w:rPr>
        <w:t>个三级指标构成，权重分30分，实际得分</w:t>
      </w:r>
      <w:r>
        <w:rPr>
          <w:rFonts w:hint="eastAsia"/>
          <w:color w:val="000000"/>
          <w:u w:color="000000"/>
        </w:rPr>
        <w:t>26</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rPr>
          <w:lang w:val="zh-TW" w:eastAsia="zh-TW"/>
        </w:rP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3"/>
        <w:tblW w:w="9137" w:type="dxa"/>
        <w:tblInd w:w="0" w:type="dxa"/>
        <w:tblLayout w:type="fixed"/>
        <w:tblCellMar>
          <w:top w:w="0" w:type="dxa"/>
          <w:left w:w="0" w:type="dxa"/>
          <w:bottom w:w="0" w:type="dxa"/>
          <w:right w:w="0" w:type="dxa"/>
        </w:tblCellMar>
      </w:tblPr>
      <w:tblGrid>
        <w:gridCol w:w="839"/>
        <w:gridCol w:w="1117"/>
        <w:gridCol w:w="2898"/>
        <w:gridCol w:w="1367"/>
        <w:gridCol w:w="519"/>
        <w:gridCol w:w="1133"/>
        <w:gridCol w:w="566"/>
        <w:gridCol w:w="698"/>
      </w:tblGrid>
      <w:tr>
        <w:tblPrEx>
          <w:tblLayout w:type="fixed"/>
          <w:tblCellMar>
            <w:top w:w="0" w:type="dxa"/>
            <w:left w:w="0" w:type="dxa"/>
            <w:bottom w:w="0" w:type="dxa"/>
            <w:right w:w="0" w:type="dxa"/>
          </w:tblCellMar>
        </w:tblPrEx>
        <w:trPr>
          <w:trHeight w:val="23" w:hRule="atLeast"/>
          <w:tblHeader/>
        </w:trPr>
        <w:tc>
          <w:tcPr>
            <w:tcW w:w="8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一级指标</w:t>
            </w:r>
          </w:p>
        </w:tc>
        <w:tc>
          <w:tcPr>
            <w:tcW w:w="11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指标得分</w:t>
            </w:r>
          </w:p>
        </w:tc>
        <w:tc>
          <w:tcPr>
            <w:tcW w:w="6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b/>
                <w:sz w:val="24"/>
              </w:rPr>
            </w:pPr>
            <w:r>
              <w:rPr>
                <w:rFonts w:hint="eastAsia" w:ascii="宋体" w:hAnsi="宋体" w:eastAsia="宋体" w:cs="宋体"/>
                <w:b/>
                <w:kern w:val="0"/>
                <w:sz w:val="24"/>
              </w:rPr>
              <w:t>备注</w:t>
            </w:r>
          </w:p>
        </w:tc>
      </w:tr>
      <w:tr>
        <w:tblPrEx>
          <w:tblLayout w:type="fixed"/>
          <w:tblCellMar>
            <w:top w:w="0" w:type="dxa"/>
            <w:left w:w="0" w:type="dxa"/>
            <w:bottom w:w="0" w:type="dxa"/>
            <w:right w:w="0" w:type="dxa"/>
          </w:tblCellMar>
        </w:tblPrEx>
        <w:trPr>
          <w:trHeight w:val="23" w:hRule="atLeast"/>
        </w:trPr>
        <w:tc>
          <w:tcPr>
            <w:tcW w:w="83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sz w:val="24"/>
              </w:rPr>
            </w:pPr>
            <w:r>
              <w:rPr>
                <w:rFonts w:hint="eastAsia" w:ascii="宋体" w:hAnsi="宋体" w:eastAsia="宋体" w:cs="宋体"/>
                <w:kern w:val="0"/>
                <w:sz w:val="24"/>
              </w:rPr>
              <w:t>效益</w:t>
            </w:r>
          </w:p>
        </w:tc>
        <w:tc>
          <w:tcPr>
            <w:tcW w:w="11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sz w:val="24"/>
              </w:rPr>
            </w:pPr>
            <w:r>
              <w:rPr>
                <w:rFonts w:hint="eastAsia" w:ascii="宋体" w:hAnsi="宋体" w:eastAsia="宋体" w:cs="宋体"/>
                <w:kern w:val="0"/>
                <w:sz w:val="24"/>
              </w:rPr>
              <w:t>经济效益指标</w:t>
            </w: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r>
              <w:rPr>
                <w:rFonts w:hint="eastAsia" w:ascii="宋体" w:hAnsi="宋体" w:eastAsia="宋体" w:cs="宋体"/>
                <w:sz w:val="24"/>
              </w:rPr>
              <w:t>活动中心设施完好率（%）</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100%</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7</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95%</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6.5</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r>
        <w:tblPrEx>
          <w:tblLayout w:type="fixed"/>
          <w:tblCellMar>
            <w:top w:w="0" w:type="dxa"/>
            <w:left w:w="0" w:type="dxa"/>
            <w:bottom w:w="0" w:type="dxa"/>
            <w:right w:w="0" w:type="dxa"/>
          </w:tblCellMar>
        </w:tblPrEx>
        <w:trPr>
          <w:trHeight w:val="23" w:hRule="atLeast"/>
        </w:trPr>
        <w:tc>
          <w:tcPr>
            <w:tcW w:w="839" w:type="dxa"/>
            <w:vMerge w:val="continue"/>
            <w:tcBorders>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111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sz w:val="24"/>
              </w:rPr>
            </w:pPr>
            <w:r>
              <w:rPr>
                <w:rFonts w:hint="eastAsia" w:ascii="宋体" w:hAnsi="宋体" w:eastAsia="宋体" w:cs="宋体"/>
                <w:kern w:val="0"/>
                <w:sz w:val="24"/>
              </w:rPr>
              <w:t>社会效益指标</w:t>
            </w: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r>
              <w:rPr>
                <w:rFonts w:hint="eastAsia" w:ascii="宋体" w:hAnsi="宋体" w:eastAsia="宋体" w:cs="宋体"/>
                <w:sz w:val="24"/>
              </w:rPr>
              <w:t>老干部老年人晚年生活幸福指数度（%）</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≥95%</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6</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90%</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5</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r>
        <w:tblPrEx>
          <w:tblLayout w:type="fixed"/>
          <w:tblCellMar>
            <w:top w:w="0" w:type="dxa"/>
            <w:left w:w="0" w:type="dxa"/>
            <w:bottom w:w="0" w:type="dxa"/>
            <w:right w:w="0" w:type="dxa"/>
          </w:tblCellMar>
        </w:tblPrEx>
        <w:trPr>
          <w:trHeight w:val="23" w:hRule="atLeast"/>
        </w:trPr>
        <w:tc>
          <w:tcPr>
            <w:tcW w:w="839" w:type="dxa"/>
            <w:vMerge w:val="continue"/>
            <w:tcBorders>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11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r>
              <w:rPr>
                <w:rFonts w:hint="eastAsia" w:ascii="宋体" w:hAnsi="宋体" w:eastAsia="宋体" w:cs="宋体"/>
                <w:sz w:val="24"/>
              </w:rPr>
              <w:t>保障活动中心正常运转</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有效保障</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7</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90%</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6.5</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r>
        <w:tblPrEx>
          <w:tblLayout w:type="fixed"/>
          <w:tblCellMar>
            <w:top w:w="0" w:type="dxa"/>
            <w:left w:w="0" w:type="dxa"/>
            <w:bottom w:w="0" w:type="dxa"/>
            <w:right w:w="0" w:type="dxa"/>
          </w:tblCellMar>
        </w:tblPrEx>
        <w:trPr>
          <w:trHeight w:val="23" w:hRule="atLeast"/>
        </w:trPr>
        <w:tc>
          <w:tcPr>
            <w:tcW w:w="839" w:type="dxa"/>
            <w:vMerge w:val="continue"/>
            <w:tcBorders>
              <w:left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11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sz w:val="24"/>
              </w:rPr>
            </w:pPr>
            <w:r>
              <w:rPr>
                <w:rFonts w:hint="eastAsia" w:ascii="宋体" w:hAnsi="宋体" w:eastAsia="宋体" w:cs="宋体"/>
                <w:kern w:val="0"/>
                <w:sz w:val="24"/>
              </w:rPr>
              <w:t>可持续影响指标</w:t>
            </w: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r>
              <w:rPr>
                <w:rFonts w:hint="eastAsia" w:ascii="宋体" w:hAnsi="宋体" w:eastAsia="宋体" w:cs="宋体"/>
                <w:sz w:val="24"/>
              </w:rPr>
              <w:t>丰富老干部精神生活</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长期</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5</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95%</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4</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r>
        <w:tblPrEx>
          <w:tblLayout w:type="fixed"/>
          <w:tblCellMar>
            <w:top w:w="0" w:type="dxa"/>
            <w:left w:w="0" w:type="dxa"/>
            <w:bottom w:w="0" w:type="dxa"/>
            <w:right w:w="0" w:type="dxa"/>
          </w:tblCellMar>
        </w:tblPrEx>
        <w:trPr>
          <w:trHeight w:val="23" w:hRule="atLeast"/>
        </w:trPr>
        <w:tc>
          <w:tcPr>
            <w:tcW w:w="83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11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textAlignment w:val="center"/>
              <w:rPr>
                <w:rFonts w:ascii="宋体" w:hAnsi="宋体" w:eastAsia="宋体" w:cs="宋体"/>
                <w:kern w:val="0"/>
                <w:sz w:val="24"/>
              </w:rPr>
            </w:pPr>
            <w:r>
              <w:rPr>
                <w:rFonts w:hint="eastAsia" w:ascii="宋体" w:hAnsi="宋体" w:eastAsia="宋体" w:cs="宋体"/>
                <w:kern w:val="0"/>
                <w:sz w:val="24"/>
              </w:rPr>
              <w:t>满意度指标</w:t>
            </w:r>
          </w:p>
        </w:tc>
        <w:tc>
          <w:tcPr>
            <w:tcW w:w="28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r>
              <w:rPr>
                <w:rFonts w:hint="eastAsia" w:ascii="宋体" w:hAnsi="宋体" w:eastAsia="宋体" w:cs="宋体"/>
                <w:sz w:val="24"/>
              </w:rPr>
              <w:t>老干部满意度（%）</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≥95%</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5</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≥90%</w:t>
            </w: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4</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r>
        <w:tblPrEx>
          <w:tblLayout w:type="fixed"/>
          <w:tblCellMar>
            <w:top w:w="0" w:type="dxa"/>
            <w:left w:w="0" w:type="dxa"/>
            <w:bottom w:w="0" w:type="dxa"/>
            <w:right w:w="0" w:type="dxa"/>
          </w:tblCellMar>
        </w:tblPrEx>
        <w:trPr>
          <w:trHeight w:val="23" w:hRule="atLeast"/>
        </w:trPr>
        <w:tc>
          <w:tcPr>
            <w:tcW w:w="6221"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合计</w:t>
            </w:r>
          </w:p>
        </w:tc>
        <w:tc>
          <w:tcPr>
            <w:tcW w:w="5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30</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p>
        </w:tc>
        <w:tc>
          <w:tcPr>
            <w:tcW w:w="5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ascii="宋体" w:hAnsi="宋体" w:eastAsia="宋体" w:cs="宋体"/>
                <w:sz w:val="24"/>
              </w:rPr>
            </w:pPr>
            <w:r>
              <w:rPr>
                <w:rFonts w:hint="eastAsia" w:ascii="宋体" w:hAnsi="宋体" w:eastAsia="宋体" w:cs="宋体"/>
                <w:sz w:val="24"/>
              </w:rPr>
              <w:t>26</w:t>
            </w:r>
          </w:p>
        </w:tc>
        <w:tc>
          <w:tcPr>
            <w:tcW w:w="6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rPr>
                <w:rFonts w:ascii="宋体" w:hAnsi="宋体" w:eastAsia="宋体" w:cs="宋体"/>
                <w:sz w:val="24"/>
              </w:rPr>
            </w:pPr>
          </w:p>
        </w:tc>
      </w:tr>
    </w:tbl>
    <w:p>
      <w:pPr>
        <w:pStyle w:val="3"/>
        <w:ind w:firstLine="960" w:firstLineChars="300"/>
      </w:pPr>
      <w:r>
        <w:rPr>
          <w:rFonts w:hint="eastAsia"/>
        </w:rPr>
        <w:t>五、主要经验及做法、存在的问题及原因分析</w:t>
      </w:r>
    </w:p>
    <w:p>
      <w:pPr>
        <w:pStyle w:val="4"/>
        <w:numPr>
          <w:ilvl w:val="0"/>
          <w:numId w:val="7"/>
        </w:numPr>
        <w:ind w:firstLine="643"/>
      </w:pPr>
      <w:bookmarkStart w:id="12" w:name="_Toc1921"/>
      <w:bookmarkStart w:id="13" w:name="_Toc28290"/>
      <w:r>
        <w:rPr>
          <w:rFonts w:hint="eastAsia"/>
        </w:rPr>
        <w:t>主要经验及做法</w:t>
      </w:r>
    </w:p>
    <w:bookmarkEnd w:id="12"/>
    <w:bookmarkEnd w:id="13"/>
    <w:p>
      <w:pPr>
        <w:ind w:firstLine="560"/>
        <w:rPr>
          <w:lang w:val="zh-TW" w:eastAsia="zh-TW"/>
        </w:rPr>
      </w:pPr>
      <w:r>
        <w:rPr>
          <w:rFonts w:hint="eastAsia"/>
          <w:lang w:val="zh-TW" w:eastAsia="zh-TW"/>
        </w:rPr>
        <w:t>紧紧围绕社会稳定和长治久安总目标，聚力脱贫攻坚战，坚持以人为本的服务理念，切实提高老干部工作质量，围绕关心关怀强实效，用心用情服务好老干部，始终把思想上关心、生活上照顾、精神上关怀老干部放在心上、抓在手上，开展亲情化服务、开展多元化服务、开展学习化服务。</w:t>
      </w:r>
    </w:p>
    <w:p>
      <w:pPr>
        <w:pStyle w:val="4"/>
        <w:ind w:firstLine="643"/>
      </w:pPr>
      <w:r>
        <w:rPr>
          <w:rFonts w:hint="eastAsia"/>
        </w:rPr>
        <w:t>（二）存在的问题及原因分析</w:t>
      </w:r>
    </w:p>
    <w:p>
      <w:pPr>
        <w:ind w:firstLine="560"/>
      </w:pPr>
      <w:r>
        <w:rPr>
          <w:rFonts w:hint="eastAsia"/>
          <w:lang w:val="zh-TW" w:eastAsia="zh-TW"/>
        </w:rPr>
        <w:t>考核指标量化不够细。在工作目标的数量、质量、标准的要求上，有些环节不够明确、不够统一，</w:t>
      </w:r>
      <w:r>
        <w:rPr>
          <w:rFonts w:hint="eastAsia"/>
          <w:lang w:val="zh-TW"/>
        </w:rPr>
        <w:t>全地区老干部工作距离新时代的形势任务要求，距离服务总目标的大局所需，距离地委和广大老同志的期望重托，还有不小差距。</w:t>
      </w:r>
    </w:p>
    <w:p>
      <w:pPr>
        <w:pStyle w:val="3"/>
        <w:ind w:firstLine="640"/>
      </w:pPr>
      <w:r>
        <w:rPr>
          <w:rFonts w:hint="eastAsia"/>
        </w:rPr>
        <w:t>六、有关建议</w:t>
      </w:r>
    </w:p>
    <w:p>
      <w:pPr>
        <w:ind w:firstLine="560"/>
        <w:rPr>
          <w:lang w:val="zh-TW" w:eastAsia="zh-TW"/>
        </w:rPr>
      </w:pPr>
      <w:r>
        <w:rPr>
          <w:rFonts w:hint="eastAsia"/>
          <w:lang w:val="zh-TW" w:eastAsia="zh-TW"/>
        </w:rPr>
        <w:t>深入贯彻习近平新时代中国特色社会主义思想和党的十九大精神，按照中央、自治区党委、地委老干部工作会议的部署要求，进一步围绕中心任务，规范工作运行，突出工作重点、提升工作质量，推动老干部工作取得成效。</w:t>
      </w:r>
    </w:p>
    <w:p>
      <w:pPr>
        <w:pStyle w:val="3"/>
        <w:ind w:firstLine="640"/>
      </w:pPr>
      <w:r>
        <w:rPr>
          <w:rFonts w:hint="eastAsia"/>
        </w:rPr>
        <w:t>七、其他需要说明的问题</w:t>
      </w:r>
    </w:p>
    <w:p>
      <w:pPr>
        <w:ind w:firstLine="544"/>
        <w:rPr>
          <w:strike/>
          <w:spacing w:val="-4"/>
          <w:szCs w:val="32"/>
        </w:rPr>
      </w:pPr>
      <w:r>
        <w:rPr>
          <w:rFonts w:hint="eastAsia"/>
          <w:spacing w:val="-4"/>
          <w:szCs w:val="32"/>
        </w:rPr>
        <w:t>“无其他说明内容”</w:t>
      </w:r>
    </w:p>
    <w:p>
      <w:pPr>
        <w:ind w:firstLine="560"/>
      </w:pPr>
    </w:p>
    <w:sectPr>
      <w:headerReference r:id="rId9" w:type="default"/>
      <w:footerReference r:id="rId10"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D5637710"/>
    <w:multiLevelType w:val="singleLevel"/>
    <w:tmpl w:val="D5637710"/>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FA3B4CBB"/>
    <w:multiLevelType w:val="singleLevel"/>
    <w:tmpl w:val="FA3B4CBB"/>
    <w:lvl w:ilvl="0" w:tentative="0">
      <w:start w:val="1"/>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3"/>
  </w:num>
  <w:num w:numId="3">
    <w:abstractNumId w:val="1"/>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40"/>
  <w:drawingGridVerticalSpacing w:val="204"/>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0A6297"/>
    <w:rsid w:val="00280CB5"/>
    <w:rsid w:val="002D497D"/>
    <w:rsid w:val="003A30F6"/>
    <w:rsid w:val="004D2392"/>
    <w:rsid w:val="0051710D"/>
    <w:rsid w:val="00525884"/>
    <w:rsid w:val="00542097"/>
    <w:rsid w:val="0060424E"/>
    <w:rsid w:val="00605096"/>
    <w:rsid w:val="00663B50"/>
    <w:rsid w:val="006E3E0B"/>
    <w:rsid w:val="0075294E"/>
    <w:rsid w:val="009B5A6C"/>
    <w:rsid w:val="009B5CF5"/>
    <w:rsid w:val="00AA2614"/>
    <w:rsid w:val="00BA7CBD"/>
    <w:rsid w:val="00E715E5"/>
    <w:rsid w:val="00EA7B8B"/>
    <w:rsid w:val="00F15BED"/>
    <w:rsid w:val="00F9440C"/>
    <w:rsid w:val="00F96C74"/>
    <w:rsid w:val="07F62B57"/>
    <w:rsid w:val="0C9A5FBD"/>
    <w:rsid w:val="0CE57393"/>
    <w:rsid w:val="0E2A08C5"/>
    <w:rsid w:val="0FF62C78"/>
    <w:rsid w:val="11726F0D"/>
    <w:rsid w:val="12F1313F"/>
    <w:rsid w:val="17364B2D"/>
    <w:rsid w:val="17745E60"/>
    <w:rsid w:val="1E716DE6"/>
    <w:rsid w:val="1FAD07BA"/>
    <w:rsid w:val="202A4AF2"/>
    <w:rsid w:val="20321ADC"/>
    <w:rsid w:val="221D326C"/>
    <w:rsid w:val="245E1E24"/>
    <w:rsid w:val="24D82D02"/>
    <w:rsid w:val="24EF3E25"/>
    <w:rsid w:val="2C103347"/>
    <w:rsid w:val="2CD74D5E"/>
    <w:rsid w:val="2D6B0671"/>
    <w:rsid w:val="2E483E7E"/>
    <w:rsid w:val="2E9947B9"/>
    <w:rsid w:val="2EF16D94"/>
    <w:rsid w:val="2F0576D5"/>
    <w:rsid w:val="2F2C00AA"/>
    <w:rsid w:val="2F6910AE"/>
    <w:rsid w:val="2F793CF4"/>
    <w:rsid w:val="30890917"/>
    <w:rsid w:val="31684CE4"/>
    <w:rsid w:val="31C53D99"/>
    <w:rsid w:val="332F7DDD"/>
    <w:rsid w:val="33944516"/>
    <w:rsid w:val="34571677"/>
    <w:rsid w:val="36185B49"/>
    <w:rsid w:val="38B54223"/>
    <w:rsid w:val="3AB66826"/>
    <w:rsid w:val="3B862016"/>
    <w:rsid w:val="3D9A3070"/>
    <w:rsid w:val="3FFD453C"/>
    <w:rsid w:val="42FE3854"/>
    <w:rsid w:val="430C1F75"/>
    <w:rsid w:val="446C7EA7"/>
    <w:rsid w:val="454409B6"/>
    <w:rsid w:val="4579640C"/>
    <w:rsid w:val="485E5503"/>
    <w:rsid w:val="4BA251FF"/>
    <w:rsid w:val="4CF03318"/>
    <w:rsid w:val="4F733A2D"/>
    <w:rsid w:val="5051428E"/>
    <w:rsid w:val="50903247"/>
    <w:rsid w:val="510460CD"/>
    <w:rsid w:val="525D0291"/>
    <w:rsid w:val="538613AB"/>
    <w:rsid w:val="544312B6"/>
    <w:rsid w:val="546C1EAD"/>
    <w:rsid w:val="5797018C"/>
    <w:rsid w:val="5D83367B"/>
    <w:rsid w:val="5D87634F"/>
    <w:rsid w:val="5EA15A65"/>
    <w:rsid w:val="60937F5E"/>
    <w:rsid w:val="61EA3381"/>
    <w:rsid w:val="636D1879"/>
    <w:rsid w:val="655136F7"/>
    <w:rsid w:val="67320B71"/>
    <w:rsid w:val="674B02B5"/>
    <w:rsid w:val="67D6351C"/>
    <w:rsid w:val="68291A1A"/>
    <w:rsid w:val="688645EA"/>
    <w:rsid w:val="689430F8"/>
    <w:rsid w:val="691B1594"/>
    <w:rsid w:val="6B82266D"/>
    <w:rsid w:val="6CAE5F0B"/>
    <w:rsid w:val="6E3843D3"/>
    <w:rsid w:val="6E9B5CD1"/>
    <w:rsid w:val="6F0D6C22"/>
    <w:rsid w:val="758A13F9"/>
    <w:rsid w:val="76D2301A"/>
    <w:rsid w:val="77861774"/>
    <w:rsid w:val="78CA2723"/>
    <w:rsid w:val="79300B45"/>
    <w:rsid w:val="79A17504"/>
    <w:rsid w:val="79C4274F"/>
    <w:rsid w:val="7B3D129B"/>
    <w:rsid w:val="7E354538"/>
    <w:rsid w:val="7E617414"/>
    <w:rsid w:val="7E7670F2"/>
    <w:rsid w:val="7F535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19"/>
    <w:qFormat/>
    <w:uiPriority w:val="0"/>
    <w:rPr>
      <w:b/>
      <w:bCs/>
    </w:rPr>
  </w:style>
  <w:style w:type="paragraph" w:styleId="6">
    <w:name w:val="annotation text"/>
    <w:basedOn w:val="1"/>
    <w:link w:val="18"/>
    <w:qFormat/>
    <w:uiPriority w:val="0"/>
    <w:pPr>
      <w:jc w:val="left"/>
    </w:pPr>
  </w:style>
  <w:style w:type="paragraph" w:styleId="7">
    <w:name w:val="Balloon Text"/>
    <w:basedOn w:val="1"/>
    <w:link w:val="17"/>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basedOn w:val="10"/>
    <w:qFormat/>
    <w:uiPriority w:val="0"/>
    <w:rPr>
      <w:b/>
      <w:bCs/>
    </w:rPr>
  </w:style>
  <w:style w:type="character" w:styleId="12">
    <w:name w:val="annotation reference"/>
    <w:basedOn w:val="10"/>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character" w:customStyle="1" w:styleId="17">
    <w:name w:val="批注框文本 Char"/>
    <w:basedOn w:val="10"/>
    <w:link w:val="7"/>
    <w:qFormat/>
    <w:uiPriority w:val="0"/>
    <w:rPr>
      <w:rFonts w:eastAsia="仿宋_GB2312"/>
      <w:kern w:val="2"/>
      <w:sz w:val="18"/>
      <w:szCs w:val="18"/>
    </w:rPr>
  </w:style>
  <w:style w:type="character" w:customStyle="1" w:styleId="18">
    <w:name w:val="批注文字 Char"/>
    <w:basedOn w:val="10"/>
    <w:link w:val="6"/>
    <w:qFormat/>
    <w:uiPriority w:val="0"/>
    <w:rPr>
      <w:rFonts w:eastAsia="仿宋_GB2312"/>
      <w:kern w:val="2"/>
      <w:sz w:val="28"/>
      <w:szCs w:val="24"/>
    </w:rPr>
  </w:style>
  <w:style w:type="character" w:customStyle="1" w:styleId="19">
    <w:name w:val="批注主题 Char"/>
    <w:basedOn w:val="18"/>
    <w:link w:val="5"/>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6ABB6A-62CB-4F9F-92BE-A60EED9CF772}">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28</Pages>
  <Words>1887</Words>
  <Characters>10758</Characters>
  <Lines>89</Lines>
  <Paragraphs>25</Paragraphs>
  <TotalTime>62</TotalTime>
  <ScaleCrop>false</ScaleCrop>
  <LinksUpToDate>false</LinksUpToDate>
  <CharactersWithSpaces>12620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cp:lastPrinted>2020-05-07T05:07:00Z</cp:lastPrinted>
  <dcterms:modified xsi:type="dcterms:W3CDTF">2020-10-29T08:35:57Z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