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和田玉保护发展中心（局）学习考察经费项目支出绩效评价报告</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2"/>
        <w:rPr>
          <w:rFonts w:ascii="黑体" w:eastAsia="黑体"/>
          <w:b/>
          <w:color w:val="000000"/>
          <w:sz w:val="30"/>
          <w:szCs w:val="30"/>
        </w:rPr>
      </w:pPr>
      <w:r>
        <w:rPr>
          <w:rFonts w:hint="eastAsia" w:ascii="黑体" w:eastAsia="黑体"/>
          <w:b/>
          <w:color w:val="000000"/>
          <w:sz w:val="30"/>
          <w:szCs w:val="30"/>
        </w:rPr>
        <w:t>项目名称：学习考察经费项目</w:t>
      </w:r>
    </w:p>
    <w:p>
      <w:pPr>
        <w:spacing w:line="360" w:lineRule="auto"/>
        <w:ind w:firstLine="602"/>
        <w:rPr>
          <w:rFonts w:ascii="黑体" w:eastAsia="黑体"/>
          <w:b/>
          <w:color w:val="000000"/>
          <w:sz w:val="30"/>
          <w:szCs w:val="30"/>
        </w:rPr>
      </w:pPr>
      <w:r>
        <w:rPr>
          <w:rFonts w:hint="eastAsia" w:ascii="黑体" w:eastAsia="黑体"/>
          <w:b/>
          <w:color w:val="000000"/>
          <w:sz w:val="30"/>
          <w:szCs w:val="30"/>
        </w:rPr>
        <w:t>实施单位：和田玉保护发展中心（局）</w:t>
      </w:r>
    </w:p>
    <w:p>
      <w:pPr>
        <w:spacing w:line="360" w:lineRule="auto"/>
        <w:ind w:firstLine="602"/>
        <w:rPr>
          <w:rFonts w:ascii="黑体" w:eastAsia="黑体"/>
          <w:b/>
          <w:color w:val="000000"/>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b/>
          <w:color w:val="000000"/>
          <w:sz w:val="30"/>
          <w:szCs w:val="30"/>
        </w:rPr>
        <w:t>主管部门：和田玉保护发展中心（局）</w:t>
      </w: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学习考察经费项目支出绩效评价报告</w:t>
      </w:r>
    </w:p>
    <w:p>
      <w:pPr>
        <w:pStyle w:val="3"/>
        <w:ind w:firstLine="640"/>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pPr>
      <w:r>
        <w:rPr>
          <w:rFonts w:hint="eastAsia"/>
        </w:rPr>
        <w:t>通过前期赴内地学习考察，强化和田玉市场服务，推进产业有序发展。坚持以服务为导向，提升政府在玉石流通中的服务水平和能力，让玉石爱好者有拍卖平台买到真正的和田玉。</w:t>
      </w:r>
    </w:p>
    <w:p>
      <w:pPr>
        <w:pStyle w:val="2"/>
        <w:ind w:firstLine="562"/>
      </w:pPr>
      <w:r>
        <w:rPr>
          <w:rFonts w:hint="eastAsia"/>
        </w:rPr>
        <w:t>2.项目实施主体</w:t>
      </w:r>
    </w:p>
    <w:p>
      <w:pPr>
        <w:ind w:firstLine="560"/>
      </w:pPr>
      <w:r>
        <w:rPr>
          <w:rFonts w:hint="eastAsia"/>
        </w:rPr>
        <w:t>主要职责：负责宣传、贯彻、执行和田玉管理办法及和田玉地方规章；负责制定并组织实施和田玉资源保护与产业发展规划、和田玉资源开采规划及年度开采计划；负责和田玉文化的宣传与推广，推动、促进和田玉文化挖掘、传承、保护和发展；负责组织和田玉质量检验检测机构开展玉材鉴定、分类和检验检测等相关工作；负责规范和田玉产品质量及和田玉的标识标注；负责组织和田籽玉、和田山料的科研工作；推动和田玉地方标准的修订、宣传、推广及执行；对接国家标准，组建和田玉鉴定专家库；负责规范和田玉资源开采、加工、交易、流通及和田玉交易市场的运行，负责制定和田玉行业人才培养与实施计划，规范和田玉从业人员的管理和培训；负责协同相关部门，对和田玉籽料、山料及和田玉产品、艺术品进行检查；负责受理和田玉及其产品的质量申诉；负责指导和田玉石行业协会自律管理，提高行业公律性和公信度，推动和田玉石行业的成熟健康发展。</w:t>
      </w:r>
    </w:p>
    <w:p>
      <w:pPr>
        <w:pStyle w:val="2"/>
        <w:ind w:firstLine="562"/>
      </w:pPr>
      <w:r>
        <w:rPr>
          <w:rFonts w:hint="eastAsia"/>
        </w:rPr>
        <w:t>3.项目组织结构</w:t>
      </w:r>
    </w:p>
    <w:p>
      <w:pPr>
        <w:ind w:firstLine="560"/>
      </w:pPr>
      <w:r>
        <w:rPr>
          <w:rFonts w:hint="eastAsia"/>
        </w:rPr>
        <w:t>为确保我单位该项目的顺利实施，我单位成立项目实施小组。</w:t>
      </w:r>
    </w:p>
    <w:p>
      <w:pPr>
        <w:pStyle w:val="2"/>
        <w:ind w:firstLine="562"/>
      </w:pPr>
      <w:r>
        <w:rPr>
          <w:rFonts w:hint="eastAsia"/>
        </w:rPr>
        <w:t>4.主要内容及实施情况</w:t>
      </w:r>
    </w:p>
    <w:p>
      <w:pPr>
        <w:ind w:firstLine="560"/>
      </w:pPr>
      <w:r>
        <w:rPr>
          <w:rFonts w:hint="eastAsia"/>
        </w:rPr>
        <w:t>为了更好的规范、管理和田玉石市场，组织干部到内地学习考察、对各县市玉石采矿采挖进行调研，积极解决和田玉市场发展中的问题，持之以恒的以问题为导向，切实推动和田玉石行业的成熟健康发展。</w:t>
      </w:r>
    </w:p>
    <w:p>
      <w:pPr>
        <w:pStyle w:val="2"/>
        <w:ind w:firstLine="562"/>
      </w:pPr>
      <w:r>
        <w:rPr>
          <w:rFonts w:hint="eastAsia"/>
        </w:rPr>
        <w:t>5.资金投入和使用情况</w:t>
      </w:r>
    </w:p>
    <w:p>
      <w:pPr>
        <w:ind w:firstLine="560"/>
      </w:pPr>
      <w:r>
        <w:rPr>
          <w:rFonts w:hint="eastAsia"/>
        </w:rPr>
        <w:t>（1）项目资金安排落实、总投入等情况分析</w:t>
      </w:r>
    </w:p>
    <w:p>
      <w:pPr>
        <w:ind w:firstLine="560"/>
      </w:pPr>
      <w:r>
        <w:rPr>
          <w:rFonts w:hint="eastAsia"/>
        </w:rPr>
        <w:t>学习考察经费</w:t>
      </w:r>
      <w:r>
        <w:t>项目预算安排总额为</w:t>
      </w:r>
      <w:r>
        <w:rPr>
          <w:rFonts w:hint="eastAsia"/>
        </w:rPr>
        <w:t>10</w:t>
      </w:r>
      <w:r>
        <w:t>万元，其中财政资金</w:t>
      </w:r>
      <w:r>
        <w:rPr>
          <w:rFonts w:hint="eastAsia"/>
        </w:rPr>
        <w:t>10</w:t>
      </w:r>
      <w:r>
        <w:t>万元，其他资金</w:t>
      </w:r>
      <w:r>
        <w:rPr>
          <w:rFonts w:hint="eastAsia"/>
        </w:rPr>
        <w:t>0</w:t>
      </w:r>
      <w:r>
        <w:t>万元，2019年实际收到预算资金</w:t>
      </w:r>
      <w:r>
        <w:rPr>
          <w:rFonts w:hint="eastAsia"/>
        </w:rPr>
        <w:t>10</w:t>
      </w:r>
      <w:r>
        <w:t>万元，预算资金到位率为</w:t>
      </w:r>
      <w:r>
        <w:rPr>
          <w:rFonts w:hint="eastAsia"/>
        </w:rPr>
        <w:t>100</w:t>
      </w:r>
      <w:r>
        <w:t>%。</w:t>
      </w:r>
    </w:p>
    <w:p>
      <w:pPr>
        <w:numPr>
          <w:ilvl w:val="0"/>
          <w:numId w:val="2"/>
        </w:numPr>
        <w:ind w:firstLine="544"/>
        <w:rPr>
          <w:rFonts w:ascii="楷体" w:hAnsi="楷体" w:eastAsia="楷体"/>
          <w:bCs/>
          <w:spacing w:val="-4"/>
        </w:rPr>
      </w:pPr>
      <w:r>
        <w:rPr>
          <w:rFonts w:hint="eastAsia" w:ascii="楷体" w:hAnsi="楷体" w:eastAsia="楷体"/>
          <w:bCs/>
          <w:spacing w:val="-4"/>
        </w:rPr>
        <w:t>项目资金实际使用情况分析</w:t>
      </w:r>
    </w:p>
    <w:p>
      <w:pPr>
        <w:ind w:firstLine="560"/>
      </w:pPr>
      <w:r>
        <w:rPr>
          <w:rFonts w:hint="eastAsia"/>
        </w:rPr>
        <w:t>本项目实际支付资金5.92万元，预算执行率59.2</w:t>
      </w:r>
      <w:r>
        <w:t>%</w:t>
      </w:r>
      <w:r>
        <w:rPr>
          <w:rFonts w:hint="eastAsia"/>
        </w:rPr>
        <w:t>，。学习考察经费结余4.08万元，财政已收。项目资金主要用于支付内地学习考察支出费用3.1万元、县市调研支出费用0.42万元、办公用品支出费用2.4万元。</w:t>
      </w:r>
    </w:p>
    <w:p>
      <w:pPr>
        <w:pStyle w:val="4"/>
        <w:ind w:firstLine="643"/>
      </w:pPr>
      <w:r>
        <w:rPr>
          <w:rFonts w:hint="eastAsia"/>
        </w:rPr>
        <w:t>（二）项目绩效目标</w:t>
      </w:r>
    </w:p>
    <w:p>
      <w:pPr>
        <w:pStyle w:val="2"/>
        <w:ind w:firstLine="562"/>
      </w:pPr>
      <w:r>
        <w:rPr>
          <w:rFonts w:hint="eastAsia"/>
        </w:rPr>
        <w:t>1.总体目标</w:t>
      </w:r>
    </w:p>
    <w:p>
      <w:pPr>
        <w:ind w:firstLine="560"/>
        <w:rPr>
          <w:b/>
        </w:rPr>
      </w:pPr>
      <w:r>
        <w:rPr>
          <w:rFonts w:hint="eastAsia"/>
        </w:rPr>
        <w:t>推动和田玉地方标准的修订、宣传手册1万册、推广及执行；做优、做强和田玉产业，到内地考察人数不少于2人；和田玉矿、和田玉籽料采挖的调研不少于3次，积极解决和田玉市场发展中的问题，持之以恒的以问题为导向，切实推动和田玉石行业的成熟健康发展；规范和田玉资源开采、加工、交易、流通及和田玉交易市场的运行。</w:t>
      </w:r>
    </w:p>
    <w:p>
      <w:pPr>
        <w:pStyle w:val="2"/>
        <w:ind w:firstLine="562"/>
      </w:pPr>
      <w:r>
        <w:rPr>
          <w:rFonts w:hint="eastAsia"/>
        </w:rPr>
        <w:t>2.阶段性目标</w:t>
      </w:r>
    </w:p>
    <w:p>
      <w:pPr>
        <w:ind w:firstLine="560"/>
        <w:rPr>
          <w:rFonts w:hAnsi="Arial" w:cs="宋体"/>
          <w:bCs/>
          <w:color w:val="000000"/>
        </w:rPr>
      </w:pPr>
      <w:r>
        <w:rPr>
          <w:rFonts w:hint="eastAsia" w:hAnsi="Arial" w:cs="宋体"/>
          <w:bCs/>
          <w:color w:val="000000"/>
        </w:rPr>
        <w:t>根据</w:t>
      </w:r>
      <w:r>
        <w:rPr>
          <w:rFonts w:hint="eastAsia" w:hAnsi="Arial" w:cs="宋体"/>
          <w:bCs/>
          <w:color w:val="000000"/>
          <w:lang w:eastAsia="zh-CN"/>
        </w:rPr>
        <w:t>相关</w:t>
      </w:r>
      <w:r>
        <w:rPr>
          <w:rFonts w:hint="eastAsia" w:hAnsi="Arial" w:cs="宋体"/>
          <w:bCs/>
          <w:color w:val="000000"/>
        </w:rPr>
        <w:t>的规定，结合项目实施单位的规章制度以及财务相关资料，评价小组对项目绩效目标进行了进一步的完善，完善后绩效目标如下：</w:t>
      </w:r>
    </w:p>
    <w:p>
      <w:pPr>
        <w:numPr>
          <w:ilvl w:val="0"/>
          <w:numId w:val="3"/>
        </w:numPr>
        <w:ind w:firstLine="560"/>
      </w:pPr>
      <w:r>
        <w:rPr>
          <w:rFonts w:hint="eastAsia"/>
        </w:rPr>
        <w:t>项目产出目标</w:t>
      </w:r>
    </w:p>
    <w:p>
      <w:pPr>
        <w:ind w:firstLine="560"/>
      </w:pPr>
      <w:r>
        <w:rPr>
          <w:rFonts w:hint="eastAsia"/>
        </w:rPr>
        <w:t>①数量指标</w:t>
      </w:r>
    </w:p>
    <w:p>
      <w:pPr>
        <w:ind w:firstLine="560"/>
      </w:pPr>
      <w:r>
        <w:rPr>
          <w:rFonts w:hint="eastAsia"/>
        </w:rPr>
        <w:t>“赴内地调研人数（人）”指标，预期指标值为≥2；</w:t>
      </w:r>
    </w:p>
    <w:p>
      <w:pPr>
        <w:ind w:firstLine="560"/>
      </w:pPr>
      <w:r>
        <w:rPr>
          <w:rFonts w:hint="eastAsia"/>
        </w:rPr>
        <w:t>“采矿区调研人数（人）”指标，预期指标值为≥2；</w:t>
      </w:r>
    </w:p>
    <w:p>
      <w:pPr>
        <w:ind w:firstLine="560"/>
      </w:pPr>
      <w:r>
        <w:rPr>
          <w:rFonts w:hint="eastAsia"/>
        </w:rPr>
        <w:t>“宣传和田玉印刷册数（册）”指标，预期指标值为≤10000；</w:t>
      </w:r>
    </w:p>
    <w:p>
      <w:pPr>
        <w:ind w:firstLine="560"/>
      </w:pPr>
      <w:r>
        <w:rPr>
          <w:rFonts w:hint="eastAsia"/>
        </w:rPr>
        <w:t>“各县市玉矿开采开挖调研次数（次）”指标，预期指标值为≥3。</w:t>
      </w:r>
    </w:p>
    <w:p>
      <w:pPr>
        <w:ind w:firstLine="560"/>
      </w:pPr>
      <w:r>
        <w:rPr>
          <w:rFonts w:hint="eastAsia"/>
        </w:rPr>
        <w:t>②质量指标</w:t>
      </w:r>
    </w:p>
    <w:p>
      <w:pPr>
        <w:ind w:firstLine="560"/>
      </w:pPr>
      <w:r>
        <w:rPr>
          <w:rFonts w:hint="eastAsia"/>
        </w:rPr>
        <w:t>“玉石市场调研完成率（%）”指标，预期指标值为100%；</w:t>
      </w:r>
    </w:p>
    <w:p>
      <w:pPr>
        <w:ind w:firstLine="560"/>
        <w:rPr>
          <w:b/>
          <w:bCs/>
        </w:rPr>
      </w:pPr>
      <w:r>
        <w:rPr>
          <w:rFonts w:hint="eastAsia"/>
        </w:rPr>
        <w:t>“采矿资质合格率（%）”指标，预期指标值为100%；</w:t>
      </w:r>
    </w:p>
    <w:p>
      <w:pPr>
        <w:ind w:firstLine="560"/>
      </w:pPr>
      <w:r>
        <w:rPr>
          <w:rFonts w:hint="eastAsia"/>
        </w:rPr>
        <w:t>“投诉处理率（%）”指标，预期指标值为100%；</w:t>
      </w:r>
    </w:p>
    <w:p>
      <w:pPr>
        <w:ind w:firstLine="560"/>
      </w:pPr>
      <w:r>
        <w:rPr>
          <w:rFonts w:hint="eastAsia"/>
        </w:rPr>
        <w:t>“采矿调研覆盖率（%）”指标，预期指标值为100%。</w:t>
      </w:r>
    </w:p>
    <w:p>
      <w:pPr>
        <w:ind w:firstLine="560"/>
      </w:pPr>
      <w:r>
        <w:rPr>
          <w:rFonts w:hint="eastAsia"/>
        </w:rPr>
        <w:t>③时效指标</w:t>
      </w:r>
    </w:p>
    <w:p>
      <w:pPr>
        <w:ind w:firstLine="560"/>
      </w:pPr>
      <w:r>
        <w:rPr>
          <w:rFonts w:hint="eastAsia"/>
        </w:rPr>
        <w:t>“投诉处理时间（工作日）”指标，预期指标值为≤15；</w:t>
      </w:r>
    </w:p>
    <w:p>
      <w:pPr>
        <w:ind w:firstLine="560"/>
        <w:rPr>
          <w:b/>
          <w:bCs/>
        </w:rPr>
      </w:pPr>
      <w:r>
        <w:rPr>
          <w:rFonts w:hint="eastAsia"/>
        </w:rPr>
        <w:t>“调查完成及时率（%）”指标，预期指标值为100%；</w:t>
      </w:r>
    </w:p>
    <w:p>
      <w:pPr>
        <w:ind w:firstLine="560"/>
      </w:pPr>
      <w:r>
        <w:rPr>
          <w:rFonts w:hint="eastAsia"/>
        </w:rPr>
        <w:t>“项目截止时间”指标，预期指标值为2019年12月31日。</w:t>
      </w:r>
    </w:p>
    <w:p>
      <w:pPr>
        <w:ind w:firstLine="560"/>
      </w:pPr>
      <w:r>
        <w:rPr>
          <w:rFonts w:hint="eastAsia"/>
        </w:rPr>
        <w:t>④成本指标</w:t>
      </w:r>
    </w:p>
    <w:p>
      <w:pPr>
        <w:ind w:firstLine="560"/>
      </w:pPr>
      <w:r>
        <w:rPr>
          <w:rFonts w:hint="eastAsia"/>
        </w:rPr>
        <w:t>“内地考察支出（万元）”指标，预期指标值为≤6；</w:t>
      </w:r>
    </w:p>
    <w:p>
      <w:pPr>
        <w:ind w:firstLine="560"/>
      </w:pPr>
      <w:r>
        <w:rPr>
          <w:rFonts w:hint="eastAsia"/>
        </w:rPr>
        <w:t>“各县市调研支出（万元）”指标，预期指标值为≤1；</w:t>
      </w:r>
    </w:p>
    <w:p>
      <w:pPr>
        <w:ind w:firstLine="560"/>
      </w:pPr>
      <w:r>
        <w:rPr>
          <w:rFonts w:hint="eastAsia"/>
        </w:rPr>
        <w:t>“办公支出（万元）”指标，预期指标值为≤3。</w:t>
      </w:r>
    </w:p>
    <w:p>
      <w:pPr>
        <w:ind w:firstLine="560"/>
      </w:pPr>
      <w:r>
        <w:rPr>
          <w:rFonts w:hint="eastAsia"/>
        </w:rPr>
        <w:t>（2）项目效益目标</w:t>
      </w:r>
    </w:p>
    <w:p>
      <w:pPr>
        <w:ind w:firstLine="560"/>
      </w:pPr>
      <w:r>
        <w:rPr>
          <w:rFonts w:hint="eastAsia"/>
        </w:rPr>
        <w:t>①经济效益指标</w:t>
      </w:r>
    </w:p>
    <w:p>
      <w:pPr>
        <w:ind w:firstLine="560"/>
      </w:pPr>
      <w:r>
        <w:rPr>
          <w:rFonts w:hint="eastAsia"/>
        </w:rPr>
        <w:t>无</w:t>
      </w:r>
    </w:p>
    <w:p>
      <w:pPr>
        <w:ind w:firstLine="560"/>
      </w:pPr>
      <w:r>
        <w:rPr>
          <w:rFonts w:hint="eastAsia"/>
        </w:rPr>
        <w:t>②社会效益指标</w:t>
      </w:r>
    </w:p>
    <w:p>
      <w:pPr>
        <w:ind w:firstLine="560"/>
      </w:pPr>
      <w:r>
        <w:rPr>
          <w:rFonts w:hint="eastAsia"/>
        </w:rPr>
        <w:t>“推动和田玉交易市场规范化”指标，预期指标值为有效推动；</w:t>
      </w:r>
    </w:p>
    <w:p>
      <w:pPr>
        <w:ind w:firstLine="560"/>
      </w:pPr>
      <w:r>
        <w:rPr>
          <w:rFonts w:hint="eastAsia"/>
        </w:rPr>
        <w:t>“促进玉石行业健康发展”指标，预期指标值为有效促进。</w:t>
      </w:r>
    </w:p>
    <w:p>
      <w:pPr>
        <w:ind w:firstLine="560"/>
      </w:pPr>
      <w:r>
        <w:rPr>
          <w:rFonts w:hint="eastAsia"/>
        </w:rPr>
        <w:t>③生态效益指标</w:t>
      </w:r>
    </w:p>
    <w:p>
      <w:pPr>
        <w:ind w:firstLine="560"/>
      </w:pPr>
      <w:r>
        <w:rPr>
          <w:rFonts w:hint="eastAsia"/>
        </w:rPr>
        <w:t>无</w:t>
      </w:r>
    </w:p>
    <w:p>
      <w:pPr>
        <w:ind w:firstLine="560"/>
      </w:pPr>
      <w:r>
        <w:rPr>
          <w:rFonts w:hint="eastAsia"/>
        </w:rPr>
        <w:t>④可持续影响</w:t>
      </w:r>
    </w:p>
    <w:p>
      <w:pPr>
        <w:ind w:firstLine="560"/>
      </w:pPr>
      <w:r>
        <w:rPr>
          <w:rFonts w:hint="eastAsia"/>
        </w:rPr>
        <w:t>“打造具有和田地区特色玉石旅游文化”指标，预期指标值为长期。</w:t>
      </w:r>
    </w:p>
    <w:p>
      <w:pPr>
        <w:ind w:firstLine="560"/>
      </w:pPr>
      <w:r>
        <w:rPr>
          <w:rFonts w:hint="eastAsia"/>
        </w:rPr>
        <w:t>（3）相关满意度目标</w:t>
      </w:r>
    </w:p>
    <w:p>
      <w:pPr>
        <w:ind w:firstLine="560"/>
      </w:pPr>
      <w:r>
        <w:rPr>
          <w:rFonts w:hint="eastAsia"/>
        </w:rPr>
        <w:t>①满意度指标</w:t>
      </w:r>
    </w:p>
    <w:p>
      <w:pPr>
        <w:ind w:firstLine="560"/>
      </w:pPr>
      <w:r>
        <w:rPr>
          <w:rFonts w:hint="eastAsia"/>
        </w:rPr>
        <w:t>“对干部职工满意度（%）”指标，预期指标值为≥98%；</w:t>
      </w:r>
    </w:p>
    <w:p>
      <w:pPr>
        <w:ind w:firstLine="560"/>
      </w:pPr>
      <w:r>
        <w:rPr>
          <w:rFonts w:hint="eastAsia"/>
        </w:rPr>
        <w:t>“对服务群众满意度（%）”指标，预期指标值为≥97%。</w:t>
      </w:r>
    </w:p>
    <w:p>
      <w:pPr>
        <w:pStyle w:val="3"/>
        <w:ind w:firstLine="640"/>
      </w:pPr>
      <w:r>
        <w:rPr>
          <w:rFonts w:hint="eastAsia"/>
        </w:rPr>
        <w:t>二、绩效评价工作开展情况</w:t>
      </w:r>
    </w:p>
    <w:p>
      <w:pPr>
        <w:pStyle w:val="4"/>
        <w:numPr>
          <w:ilvl w:val="0"/>
          <w:numId w:val="4"/>
        </w:numPr>
        <w:ind w:firstLine="643"/>
        <w:rPr>
          <w:rFonts w:ascii="楷体" w:hAnsi="楷体" w:cs="楷体"/>
          <w:szCs w:val="32"/>
        </w:rPr>
      </w:pPr>
      <w:bookmarkStart w:id="0" w:name="_Toc5462343"/>
      <w:bookmarkStart w:id="1" w:name="_Toc22169_WPSOffice_Level2"/>
      <w:bookmarkStart w:id="2" w:name="_Toc21664"/>
      <w:bookmarkStart w:id="3" w:name="_Toc5258"/>
      <w:bookmarkStart w:id="4" w:name="_Toc22922"/>
      <w:bookmarkStart w:id="5" w:name="_Toc480473081"/>
      <w:bookmarkStart w:id="6" w:name="_Toc26632"/>
      <w:bookmarkStart w:id="7" w:name="_Toc12868"/>
      <w:r>
        <w:rPr>
          <w:rFonts w:hint="eastAsia" w:ascii="楷体" w:hAnsi="楷体" w:cs="楷体"/>
          <w:szCs w:val="32"/>
        </w:rPr>
        <w:t>绩效评价的目的</w:t>
      </w:r>
      <w:bookmarkEnd w:id="0"/>
      <w:bookmarkEnd w:id="1"/>
      <w:bookmarkEnd w:id="2"/>
      <w:bookmarkEnd w:id="3"/>
      <w:bookmarkEnd w:id="4"/>
      <w:bookmarkEnd w:id="5"/>
      <w:bookmarkEnd w:id="6"/>
      <w:bookmarkEnd w:id="7"/>
      <w:r>
        <w:rPr>
          <w:rFonts w:hint="eastAsia" w:ascii="楷体" w:hAnsi="楷体" w:cs="楷体"/>
          <w:szCs w:val="32"/>
        </w:rPr>
        <w:t>、对象和范围</w:t>
      </w:r>
    </w:p>
    <w:p>
      <w:pPr>
        <w:pStyle w:val="2"/>
        <w:ind w:firstLine="562"/>
      </w:pPr>
      <w:r>
        <w:rPr>
          <w:rFonts w:hint="eastAsia"/>
        </w:rPr>
        <w:t>1.</w:t>
      </w:r>
      <w:r>
        <w:rPr>
          <w:rFonts w:hint="eastAsia" w:ascii="楷体" w:hAnsi="楷体" w:eastAsia="楷体" w:cs="楷体"/>
          <w:sz w:val="32"/>
        </w:rPr>
        <w:t>绩效评价的目的</w:t>
      </w:r>
    </w:p>
    <w:p>
      <w:pPr>
        <w:spacing w:line="600" w:lineRule="exact"/>
        <w:ind w:firstLine="560"/>
      </w:pPr>
      <w:r>
        <w:rPr>
          <w:rFonts w:hint="eastAsia"/>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2"/>
        <w:ind w:firstLine="562"/>
      </w:pPr>
      <w:r>
        <w:rPr>
          <w:rFonts w:hint="eastAsia"/>
        </w:rPr>
        <w:t>2.绩效评价的对象和范围</w:t>
      </w:r>
    </w:p>
    <w:p>
      <w:pPr>
        <w:ind w:firstLine="560"/>
      </w:pPr>
      <w:r>
        <w:rPr>
          <w:rFonts w:hint="eastAsia"/>
        </w:rPr>
        <w:t>此次我单位根据财政支出绩效评价管理暂行办法要求</w:t>
      </w:r>
      <w:r>
        <w:rPr>
          <w:rFonts w:hint="eastAsia"/>
          <w:lang w:eastAsia="zh-CN"/>
        </w:rPr>
        <w:t>，</w:t>
      </w:r>
      <w:r>
        <w:rPr>
          <w:rFonts w:hint="eastAsia"/>
        </w:rPr>
        <w:t>对2019年度我单位实施的学习考察经费项目开展部门绩效评价，本次绩效评价主要围绕项目</w:t>
      </w:r>
      <w:r>
        <w:t>资金使用情况、财务管理状况和资产配置、使用、处置及其收益管理情况</w:t>
      </w:r>
      <w:r>
        <w:rPr>
          <w:rFonts w:hint="eastAsia"/>
        </w:rPr>
        <w:t>；项目管理</w:t>
      </w:r>
      <w:r>
        <w:t>相关制度</w:t>
      </w:r>
      <w:r>
        <w:rPr>
          <w:rFonts w:hint="eastAsia"/>
        </w:rPr>
        <w:t>及</w:t>
      </w:r>
      <w:r>
        <w:t>措施</w:t>
      </w:r>
      <w:r>
        <w:rPr>
          <w:rFonts w:hint="eastAsia"/>
        </w:rPr>
        <w:t>是否被认真执行</w:t>
      </w:r>
      <w:r>
        <w:t>；绩效目标的实现程度，包括是否达到预定产出和效果等</w:t>
      </w:r>
      <w:r>
        <w:rPr>
          <w:rFonts w:hint="eastAsia"/>
        </w:rPr>
        <w:t>方面进行部门绩效评价。</w:t>
      </w:r>
    </w:p>
    <w:p>
      <w:pPr>
        <w:pStyle w:val="4"/>
        <w:numPr>
          <w:ilvl w:val="0"/>
          <w:numId w:val="4"/>
        </w:numPr>
        <w:ind w:firstLine="643"/>
      </w:pPr>
      <w:r>
        <w:rPr>
          <w:rFonts w:hint="eastAsia"/>
        </w:rPr>
        <w:t>评价工作简述</w:t>
      </w:r>
    </w:p>
    <w:p>
      <w:pPr>
        <w:pStyle w:val="2"/>
        <w:ind w:firstLine="562"/>
      </w:pPr>
      <w:r>
        <w:rPr>
          <w:rFonts w:hint="eastAsia"/>
        </w:rPr>
        <w:t>1.绩效评价原则</w:t>
      </w:r>
    </w:p>
    <w:p>
      <w:pPr>
        <w:spacing w:line="600" w:lineRule="exact"/>
        <w:ind w:firstLine="560"/>
      </w:pPr>
      <w:r>
        <w:rPr>
          <w:rFonts w:hint="eastAsia"/>
        </w:rPr>
        <w:t>依据</w:t>
      </w:r>
      <w:r>
        <w:rPr>
          <w:rFonts w:hint="eastAsia"/>
          <w:lang w:eastAsia="zh-CN"/>
        </w:rPr>
        <w:t>相关规定</w:t>
      </w:r>
      <w:r>
        <w:rPr>
          <w:rFonts w:hint="eastAsia"/>
        </w:rPr>
        <w:t>要求，本次绩效评价秉承科学规范、公正公开、分级分类、绩效相关等原则，按照从投入、过程到产出效果和影响的绩效逻辑路径，结合学习考察经费项目实际开展情况，运用定量和定性分析相结合的方法，总结经验做法，反思项目实施和管理中的问题，以切实提升财政资金管理的科学化、规范化和精细化水平。</w:t>
      </w:r>
    </w:p>
    <w:p>
      <w:pPr>
        <w:spacing w:line="600" w:lineRule="exact"/>
        <w:ind w:firstLine="560"/>
      </w:pPr>
      <w:r>
        <w:rPr>
          <w:rFonts w:hint="eastAsia"/>
        </w:rPr>
        <w:t>根据以上原则，绩效评价应遵循如下要求：</w:t>
      </w:r>
    </w:p>
    <w:p>
      <w:pPr>
        <w:spacing w:line="600" w:lineRule="exact"/>
        <w:ind w:firstLine="560"/>
      </w:pPr>
      <w:r>
        <w:rPr>
          <w:rFonts w:hint="eastAsia"/>
        </w:rPr>
        <w:t>（1）在数据采集时，采取客观数据，主管部门审查、社会中介组织复查，与问卷调查相结合的形式，以保证各项指标的真实性。</w:t>
      </w:r>
    </w:p>
    <w:p>
      <w:pPr>
        <w:spacing w:line="600" w:lineRule="exact"/>
        <w:ind w:firstLine="560"/>
      </w:pPr>
      <w:r>
        <w:rPr>
          <w:rFonts w:hint="eastAsia"/>
        </w:rPr>
        <w:t>（2）保证评价结果的真实性、公正性，提高评价报告的公信力。</w:t>
      </w:r>
    </w:p>
    <w:p>
      <w:pPr>
        <w:spacing w:line="600" w:lineRule="exact"/>
        <w:ind w:firstLine="560"/>
      </w:pPr>
      <w:r>
        <w:rPr>
          <w:rFonts w:hint="eastAsia"/>
        </w:rPr>
        <w:t>（3）绩效评价报告应当简明扼要，除了对绩效评价的过程、结果描述外，还应总结经验，指出问题，并就共性问题提出可操作性改进建议。</w:t>
      </w:r>
    </w:p>
    <w:p>
      <w:pPr>
        <w:pStyle w:val="2"/>
        <w:ind w:firstLine="562"/>
      </w:pPr>
      <w:bookmarkStart w:id="8" w:name="_Toc1913"/>
      <w:bookmarkStart w:id="9" w:name="_Toc428278230"/>
      <w:bookmarkStart w:id="10" w:name="_Toc26131"/>
      <w:bookmarkStart w:id="11" w:name="_Toc419984722"/>
      <w:r>
        <w:rPr>
          <w:rFonts w:hint="eastAsia"/>
        </w:rPr>
        <w:t>2.绩效评价指标体系</w:t>
      </w:r>
      <w:bookmarkEnd w:id="8"/>
      <w:bookmarkEnd w:id="9"/>
      <w:bookmarkEnd w:id="10"/>
      <w:bookmarkEnd w:id="11"/>
    </w:p>
    <w:p>
      <w:pPr>
        <w:pStyle w:val="2"/>
        <w:ind w:firstLine="562"/>
        <w:rPr>
          <w:rFonts w:hint="eastAsia"/>
          <w:lang w:val="zh-TW" w:eastAsia="zh-CN"/>
        </w:rPr>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资料研读及前期调研，结合项目的实际开展情况，将项目的指标体系进行了调整和完善</w:t>
      </w:r>
      <w:r>
        <w:rPr>
          <w:rFonts w:hint="eastAsia"/>
          <w:lang w:val="zh-TW"/>
        </w:rPr>
        <w:t>，</w:t>
      </w:r>
      <w:r>
        <w:rPr>
          <w:rFonts w:hint="eastAsia"/>
          <w:lang w:val="zh-TW" w:eastAsia="zh-TW"/>
        </w:rPr>
        <w:t>最终形成了项目绩效评价指标体系</w:t>
      </w:r>
      <w:r>
        <w:rPr>
          <w:rFonts w:hint="eastAsia"/>
          <w:lang w:val="zh-TW" w:eastAsia="zh-CN"/>
        </w:rPr>
        <w:t>。</w:t>
      </w:r>
    </w:p>
    <w:p>
      <w:pPr>
        <w:pStyle w:val="2"/>
        <w:ind w:firstLine="562"/>
      </w:pPr>
      <w:r>
        <w:rPr>
          <w:rFonts w:hint="eastAsia"/>
        </w:rPr>
        <w:t>3.评价方法</w:t>
      </w:r>
    </w:p>
    <w:p>
      <w:pPr>
        <w:ind w:firstLine="560"/>
      </w:pPr>
      <w:r>
        <w:rPr>
          <w:rFonts w:hint="eastAsia"/>
        </w:rPr>
        <w:t>本次绩效评价采用的方法比较法、公众评判法对项目绩效目标预期指标值与实施情况进行比较，以及采取公众问卷及抽样调查等方式进行评判的方法对该项目进行评价。</w:t>
      </w:r>
    </w:p>
    <w:p>
      <w:pPr>
        <w:pStyle w:val="2"/>
        <w:ind w:firstLine="562"/>
      </w:pPr>
      <w:r>
        <w:rPr>
          <w:rFonts w:hint="eastAsia"/>
        </w:rPr>
        <w:t>4.评价标准</w:t>
      </w:r>
    </w:p>
    <w:p>
      <w:pPr>
        <w:ind w:firstLine="560"/>
        <w:rPr>
          <w:color w:val="FF0000"/>
        </w:rPr>
      </w:pPr>
      <w:r>
        <w:rPr>
          <w:rFonts w:hint="eastAsia"/>
        </w:rPr>
        <w:t>本次绩效评价采用的标准计划标准、行业标准、历史标准对绩效指标完成情况进行对比。</w:t>
      </w:r>
    </w:p>
    <w:p>
      <w:pPr>
        <w:pStyle w:val="4"/>
        <w:numPr>
          <w:ilvl w:val="0"/>
          <w:numId w:val="4"/>
        </w:numPr>
        <w:ind w:firstLine="643"/>
      </w:pPr>
      <w:r>
        <w:rPr>
          <w:rFonts w:hint="eastAsia"/>
        </w:rPr>
        <w:t>绩效评价工作过程</w:t>
      </w:r>
    </w:p>
    <w:p>
      <w:pPr>
        <w:ind w:firstLine="560"/>
      </w:pPr>
      <w:r>
        <w:rPr>
          <w:rFonts w:hint="eastAsia"/>
        </w:rPr>
        <w:t>本次评价设计了评价方案、评价指标体系，通过资料分析、调研、访谈满意度调查等方式形成评价结论，确定评价意见，并出具评价报告。</w:t>
      </w:r>
    </w:p>
    <w:p>
      <w:pPr>
        <w:pStyle w:val="3"/>
        <w:numPr>
          <w:ilvl w:val="0"/>
          <w:numId w:val="5"/>
        </w:numPr>
        <w:ind w:firstLine="640"/>
      </w:pPr>
      <w:r>
        <w:rPr>
          <w:rFonts w:hint="eastAsia"/>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采用的方法比较法、公众评判法，</w:t>
      </w:r>
      <w:r>
        <w:rPr>
          <w:rFonts w:hint="eastAsia"/>
          <w:lang w:val="zh-TW" w:eastAsia="zh-TW"/>
        </w:rPr>
        <w:t>对</w:t>
      </w:r>
      <w:r>
        <w:rPr>
          <w:rFonts w:hint="eastAsia"/>
        </w:rPr>
        <w:t>学习考察经费项目</w:t>
      </w:r>
      <w:r>
        <w:rPr>
          <w:rFonts w:hint="eastAsia"/>
          <w:lang w:val="zh-TW" w:eastAsia="zh-TW"/>
        </w:rPr>
        <w:t>绩效进行客观评价，最终评分结果：总分为</w:t>
      </w:r>
      <w:r>
        <w:rPr>
          <w:rFonts w:hint="eastAsia"/>
        </w:rPr>
        <w:t>92.04</w:t>
      </w:r>
      <w:r>
        <w:rPr>
          <w:rFonts w:hint="eastAsia"/>
          <w:lang w:val="zh-TW" w:eastAsia="zh-TW"/>
        </w:rPr>
        <w:t>分，绩效评级为“</w:t>
      </w:r>
      <w:r>
        <w:rPr>
          <w:rFonts w:hint="eastAsia"/>
        </w:rPr>
        <w:t>优</w:t>
      </w:r>
      <w:r>
        <w:rPr>
          <w:rFonts w:hint="eastAsia"/>
          <w:lang w:val="zh-TW" w:eastAsia="zh-TW"/>
        </w:rPr>
        <w:t>”。各部分权重和绩效</w:t>
      </w:r>
      <w:r>
        <w:rPr>
          <w:rFonts w:hint="eastAsia"/>
        </w:rPr>
        <w:t>汇总</w:t>
      </w:r>
      <w:r>
        <w:rPr>
          <w:rFonts w:hint="eastAsia"/>
          <w:lang w:val="zh-TW" w:eastAsia="zh-TW"/>
        </w:rPr>
        <w:t>分值如下表所示：</w:t>
      </w:r>
    </w:p>
    <w:tbl>
      <w:tblPr>
        <w:tblStyle w:val="10"/>
        <w:tblW w:w="8290" w:type="dxa"/>
        <w:jc w:val="center"/>
        <w:tblLayout w:type="fixed"/>
        <w:tblCellMar>
          <w:top w:w="0" w:type="dxa"/>
          <w:left w:w="0" w:type="dxa"/>
          <w:bottom w:w="0" w:type="dxa"/>
          <w:right w:w="0" w:type="dxa"/>
        </w:tblCellMar>
      </w:tblPr>
      <w:tblGrid>
        <w:gridCol w:w="1094"/>
        <w:gridCol w:w="1361"/>
        <w:gridCol w:w="1361"/>
        <w:gridCol w:w="1361"/>
        <w:gridCol w:w="1623"/>
        <w:gridCol w:w="1490"/>
      </w:tblGrid>
      <w:tr>
        <w:tblPrEx>
          <w:tblCellMar>
            <w:top w:w="0" w:type="dxa"/>
            <w:left w:w="0" w:type="dxa"/>
            <w:bottom w:w="0" w:type="dxa"/>
            <w:right w:w="0" w:type="dxa"/>
          </w:tblCellMar>
        </w:tblPrEx>
        <w:trPr>
          <w:trHeight w:val="375" w:hRule="atLeast"/>
          <w:jc w:val="center"/>
        </w:trPr>
        <w:tc>
          <w:tcPr>
            <w:tcW w:w="8290" w:type="dxa"/>
            <w:gridSpan w:val="6"/>
            <w:tcBorders>
              <w:top w:val="nil"/>
              <w:left w:val="nil"/>
              <w:bottom w:val="nil"/>
              <w:right w:val="nil"/>
            </w:tcBorders>
            <w:shd w:val="clear" w:color="auto" w:fill="auto"/>
            <w:noWrap/>
            <w:tcMar>
              <w:top w:w="15" w:type="dxa"/>
              <w:left w:w="15" w:type="dxa"/>
              <w:right w:w="15" w:type="dxa"/>
            </w:tcMar>
            <w:vAlign w:val="center"/>
          </w:tcPr>
          <w:p>
            <w:pPr>
              <w:widowControl/>
              <w:ind w:firstLine="0" w:firstLineChars="0"/>
              <w:jc w:val="center"/>
              <w:textAlignment w:val="center"/>
              <w:rPr>
                <w:rFonts w:ascii="宋体" w:hAnsi="宋体" w:eastAsia="宋体" w:cs="宋体"/>
                <w:b/>
                <w:color w:val="000000"/>
                <w:sz w:val="24"/>
              </w:rPr>
            </w:pPr>
            <w:r>
              <w:rPr>
                <w:rFonts w:hint="eastAsia" w:ascii="宋体" w:hAnsi="宋体" w:eastAsia="宋体" w:cs="宋体"/>
                <w:b/>
                <w:kern w:val="0"/>
                <w:sz w:val="24"/>
              </w:rPr>
              <w:t>表3-1：学习考察经费项目得分表</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4.项目效益</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sz w:val="24"/>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30</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18.37</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27.47</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28.2</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92.04</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90%</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91.84%</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91.58%</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94.0%</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92.04%</w:t>
            </w:r>
          </w:p>
        </w:tc>
      </w:tr>
    </w:tbl>
    <w:p>
      <w:pPr>
        <w:pStyle w:val="3"/>
        <w:ind w:firstLine="640"/>
      </w:pPr>
      <w:r>
        <w:rPr>
          <w:rFonts w:hint="eastAsia"/>
        </w:rPr>
        <w:t>四、绩效评价指标分析</w:t>
      </w:r>
    </w:p>
    <w:p>
      <w:pPr>
        <w:pStyle w:val="4"/>
        <w:ind w:firstLine="643"/>
      </w:pPr>
      <w:r>
        <w:rPr>
          <w:rFonts w:hint="eastAsia"/>
        </w:rPr>
        <w:t>（一）项目决策情况</w:t>
      </w:r>
    </w:p>
    <w:p>
      <w:pPr>
        <w:ind w:firstLine="560"/>
      </w:pPr>
      <w:r>
        <w:rPr>
          <w:rFonts w:hint="eastAsia"/>
        </w:rPr>
        <w:t>项目决策由3个二级指标和6个三级指标构成，权重分20分，实际得分18分，</w:t>
      </w:r>
      <w:r>
        <w:rPr>
          <w:rFonts w:hint="eastAsia"/>
          <w:color w:val="000000"/>
          <w:u w:color="000000"/>
          <w:lang w:val="zh-TW" w:eastAsia="zh-TW"/>
        </w:rPr>
        <w:t>各指标业绩值和绩效分值如表</w:t>
      </w:r>
      <w:r>
        <w:rPr>
          <w:rFonts w:hint="eastAsia"/>
          <w:color w:val="000000"/>
          <w:u w:color="000000"/>
        </w:rPr>
        <w:t>4</w:t>
      </w:r>
      <w:r>
        <w:rPr>
          <w:color w:val="000000"/>
          <w:u w:color="000000"/>
        </w:rPr>
        <w:t>-1</w:t>
      </w:r>
      <w:r>
        <w:rPr>
          <w:rFonts w:hint="eastAsia"/>
          <w:color w:val="000000"/>
          <w:u w:color="000000"/>
          <w:lang w:val="zh-TW" w:eastAsia="zh-TW"/>
        </w:rPr>
        <w:t>所示</w:t>
      </w:r>
      <w:r>
        <w:rPr>
          <w:rFonts w:hint="eastAsia"/>
        </w:rPr>
        <w:t>：</w:t>
      </w:r>
    </w:p>
    <w:p>
      <w:pPr>
        <w:keepNext/>
        <w:keepLines/>
        <w:ind w:firstLine="562"/>
        <w:jc w:val="center"/>
      </w:pPr>
      <w:r>
        <w:rPr>
          <w:rFonts w:hint="eastAsia"/>
          <w:b/>
          <w:bCs/>
          <w:color w:val="000000"/>
          <w:u w:color="000000"/>
          <w:lang w:val="zh-TW" w:eastAsia="zh-TW"/>
        </w:rPr>
        <w:t>表</w:t>
      </w:r>
      <w:r>
        <w:rPr>
          <w:rFonts w:hint="eastAsia"/>
          <w:b/>
          <w:bCs/>
          <w:color w:val="000000"/>
          <w:u w:color="000000"/>
        </w:rPr>
        <w:t>4</w:t>
      </w:r>
      <w:r>
        <w:rPr>
          <w:b/>
          <w:bCs/>
          <w:color w:val="000000"/>
          <w:u w:color="000000"/>
        </w:rPr>
        <w:t>-1</w:t>
      </w:r>
      <w:r>
        <w:rPr>
          <w:rFonts w:hint="eastAsia"/>
          <w:b/>
          <w:bCs/>
          <w:color w:val="000000"/>
          <w:u w:color="000000"/>
          <w:lang w:val="zh-TW" w:eastAsia="zh-TW"/>
        </w:rPr>
        <w:t>项目决策指标及分值</w:t>
      </w:r>
    </w:p>
    <w:tbl>
      <w:tblPr>
        <w:tblStyle w:val="10"/>
        <w:tblW w:w="8447" w:type="dxa"/>
        <w:jc w:val="center"/>
        <w:tblLayout w:type="fixed"/>
        <w:tblCellMar>
          <w:top w:w="0" w:type="dxa"/>
          <w:left w:w="0" w:type="dxa"/>
          <w:bottom w:w="0" w:type="dxa"/>
          <w:right w:w="0" w:type="dxa"/>
        </w:tblCellMar>
      </w:tblPr>
      <w:tblGrid>
        <w:gridCol w:w="1077"/>
        <w:gridCol w:w="960"/>
        <w:gridCol w:w="1251"/>
        <w:gridCol w:w="794"/>
        <w:gridCol w:w="1871"/>
        <w:gridCol w:w="1417"/>
        <w:gridCol w:w="1077"/>
      </w:tblGrid>
      <w:tr>
        <w:tblPrEx>
          <w:tblCellMar>
            <w:top w:w="0" w:type="dxa"/>
            <w:left w:w="0" w:type="dxa"/>
            <w:bottom w:w="0" w:type="dxa"/>
            <w:right w:w="0" w:type="dxa"/>
          </w:tblCellMar>
        </w:tblPrEx>
        <w:trPr>
          <w:trHeight w:val="522"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CellMar>
            <w:top w:w="0" w:type="dxa"/>
            <w:left w:w="0" w:type="dxa"/>
            <w:bottom w:w="0" w:type="dxa"/>
            <w:right w:w="0" w:type="dxa"/>
          </w:tblCellMar>
        </w:tblPrEx>
        <w:trPr>
          <w:trHeight w:val="334" w:hRule="atLeast"/>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项目立项　</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w:t>
            </w:r>
          </w:p>
        </w:tc>
      </w:tr>
      <w:tr>
        <w:tblPrEx>
          <w:tblCellMar>
            <w:top w:w="0" w:type="dxa"/>
            <w:left w:w="0" w:type="dxa"/>
            <w:bottom w:w="0" w:type="dxa"/>
            <w:right w:w="0" w:type="dxa"/>
          </w:tblCellMar>
        </w:tblPrEx>
        <w:trPr>
          <w:trHeight w:val="334" w:hRule="atLeast"/>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CellMar>
            <w:top w:w="0" w:type="dxa"/>
            <w:left w:w="0" w:type="dxa"/>
            <w:bottom w:w="0" w:type="dxa"/>
            <w:right w:w="0" w:type="dxa"/>
          </w:tblCellMar>
        </w:tblPrEx>
        <w:trPr>
          <w:trHeight w:val="334" w:hRule="atLeast"/>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334" w:hRule="atLeast"/>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CellMar>
            <w:top w:w="0" w:type="dxa"/>
            <w:left w:w="0" w:type="dxa"/>
            <w:bottom w:w="0" w:type="dxa"/>
            <w:right w:w="0" w:type="dxa"/>
          </w:tblCellMar>
        </w:tblPrEx>
        <w:trPr>
          <w:trHeight w:val="334" w:hRule="atLeast"/>
          <w:jc w:val="center"/>
        </w:trPr>
        <w:tc>
          <w:tcPr>
            <w:tcW w:w="1077" w:type="dxa"/>
            <w:vMerge w:val="continue"/>
            <w:tcBorders>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资金投入</w:t>
            </w:r>
          </w:p>
        </w:tc>
        <w:tc>
          <w:tcPr>
            <w:tcW w:w="794" w:type="dxa"/>
            <w:vMerge w:val="restart"/>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预算编制科学性</w:t>
            </w:r>
          </w:p>
        </w:tc>
        <w:tc>
          <w:tcPr>
            <w:tcW w:w="1417"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CellMar>
            <w:top w:w="0" w:type="dxa"/>
            <w:left w:w="0" w:type="dxa"/>
            <w:bottom w:w="0" w:type="dxa"/>
            <w:right w:w="0" w:type="dxa"/>
          </w:tblCellMar>
        </w:tblPrEx>
        <w:trPr>
          <w:trHeight w:val="334" w:hRule="atLeast"/>
          <w:jc w:val="center"/>
        </w:trPr>
        <w:tc>
          <w:tcPr>
            <w:tcW w:w="1077" w:type="dxa"/>
            <w:vMerge w:val="continue"/>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资金分配合理性</w:t>
            </w:r>
          </w:p>
        </w:tc>
        <w:tc>
          <w:tcPr>
            <w:tcW w:w="1417"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CellMar>
            <w:top w:w="0" w:type="dxa"/>
            <w:left w:w="0" w:type="dxa"/>
            <w:bottom w:w="0" w:type="dxa"/>
            <w:right w:w="0" w:type="dxa"/>
          </w:tblCellMar>
        </w:tblPrEx>
        <w:trPr>
          <w:trHeight w:val="334" w:hRule="atLeast"/>
          <w:jc w:val="center"/>
        </w:trPr>
        <w:tc>
          <w:tcPr>
            <w:tcW w:w="32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18</w:t>
            </w:r>
          </w:p>
        </w:tc>
      </w:tr>
    </w:tbl>
    <w:p>
      <w:pPr>
        <w:pStyle w:val="4"/>
        <w:ind w:firstLine="643"/>
      </w:pPr>
      <w:r>
        <w:rPr>
          <w:rFonts w:hint="eastAsia"/>
        </w:rPr>
        <w:t>（二）项目过程情况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过程</w:t>
      </w:r>
      <w:r>
        <w:rPr>
          <w:rFonts w:hint="eastAsia"/>
          <w:color w:val="000000"/>
          <w:u w:color="000000"/>
        </w:rPr>
        <w:t>管理</w:t>
      </w:r>
      <w:r>
        <w:rPr>
          <w:rFonts w:hint="eastAsia"/>
          <w:color w:val="000000"/>
          <w:u w:color="000000"/>
          <w:lang w:val="zh-TW" w:eastAsia="zh-TW"/>
        </w:rPr>
        <w:t>类指标由</w:t>
      </w:r>
      <w:r>
        <w:rPr>
          <w:rFonts w:hint="eastAsia"/>
          <w:color w:val="000000"/>
          <w:u w:color="000000"/>
        </w:rPr>
        <w:t>2</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5</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20</w:t>
      </w:r>
      <w:r>
        <w:rPr>
          <w:rFonts w:hint="eastAsia"/>
          <w:color w:val="000000"/>
          <w:u w:color="000000"/>
          <w:lang w:val="zh-TW" w:eastAsia="zh-TW"/>
        </w:rPr>
        <w:t>分，实际得分</w:t>
      </w:r>
      <w:r>
        <w:rPr>
          <w:rFonts w:hint="eastAsia"/>
          <w:color w:val="000000"/>
          <w:u w:color="000000"/>
        </w:rPr>
        <w:t>18.37</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2</w:t>
      </w:r>
      <w:r>
        <w:rPr>
          <w:rFonts w:hint="eastAsia"/>
          <w:color w:val="000000"/>
          <w:u w:color="000000"/>
          <w:lang w:val="zh-TW" w:eastAsia="zh-TW"/>
        </w:rPr>
        <w:t>所示：</w:t>
      </w:r>
    </w:p>
    <w:p>
      <w:pPr>
        <w:ind w:firstLine="562"/>
        <w:jc w:val="center"/>
        <w:rPr>
          <w:b/>
          <w:bCs/>
          <w:color w:val="000000"/>
          <w:u w:color="000000"/>
        </w:rPr>
      </w:pPr>
      <w:r>
        <w:rPr>
          <w:rFonts w:hint="eastAsia"/>
          <w:b/>
          <w:bCs/>
          <w:color w:val="000000"/>
          <w:u w:color="000000"/>
          <w:lang w:val="zh-TW" w:eastAsia="zh-TW"/>
        </w:rPr>
        <w:t>表</w:t>
      </w:r>
      <w:r>
        <w:rPr>
          <w:rFonts w:hint="eastAsia"/>
          <w:b/>
          <w:bCs/>
          <w:color w:val="000000"/>
          <w:u w:color="000000"/>
        </w:rPr>
        <w:t>4</w:t>
      </w:r>
      <w:r>
        <w:rPr>
          <w:b/>
          <w:bCs/>
          <w:color w:val="000000"/>
          <w:u w:color="000000"/>
        </w:rPr>
        <w:t>-</w:t>
      </w:r>
      <w:r>
        <w:rPr>
          <w:rFonts w:hint="eastAsia"/>
          <w:b/>
          <w:bCs/>
          <w:color w:val="000000"/>
          <w:u w:color="000000"/>
        </w:rPr>
        <w:t>2</w:t>
      </w:r>
      <w:r>
        <w:rPr>
          <w:rFonts w:hint="eastAsia"/>
          <w:b/>
          <w:bCs/>
          <w:color w:val="000000"/>
          <w:u w:color="000000"/>
          <w:lang w:val="zh-TW" w:eastAsia="zh-TW"/>
        </w:rPr>
        <w:t>项目</w:t>
      </w:r>
      <w:r>
        <w:rPr>
          <w:rFonts w:hint="eastAsia"/>
          <w:b/>
          <w:bCs/>
          <w:color w:val="000000"/>
          <w:u w:color="000000"/>
          <w:lang w:val="zh-TW"/>
        </w:rPr>
        <w:t>管理</w:t>
      </w:r>
      <w:r>
        <w:rPr>
          <w:rFonts w:hint="eastAsia"/>
          <w:b/>
          <w:bCs/>
          <w:color w:val="000000"/>
          <w:u w:color="000000"/>
          <w:lang w:val="zh-TW" w:eastAsia="zh-TW"/>
        </w:rPr>
        <w:t>指标及分值</w:t>
      </w:r>
      <w:r>
        <w:rPr>
          <w:rFonts w:hint="eastAsia"/>
          <w:b/>
          <w:bCs/>
          <w:color w:val="000000"/>
          <w:u w:color="000000"/>
        </w:rPr>
        <w:t>情况</w:t>
      </w:r>
    </w:p>
    <w:tbl>
      <w:tblPr>
        <w:tblStyle w:val="10"/>
        <w:tblW w:w="8317" w:type="dxa"/>
        <w:jc w:val="center"/>
        <w:tblLayout w:type="fixed"/>
        <w:tblCellMar>
          <w:top w:w="0" w:type="dxa"/>
          <w:left w:w="0" w:type="dxa"/>
          <w:bottom w:w="0" w:type="dxa"/>
          <w:right w:w="0" w:type="dxa"/>
        </w:tblCellMar>
      </w:tblPr>
      <w:tblGrid>
        <w:gridCol w:w="1182"/>
        <w:gridCol w:w="738"/>
        <w:gridCol w:w="1248"/>
        <w:gridCol w:w="1176"/>
        <w:gridCol w:w="1644"/>
        <w:gridCol w:w="1176"/>
        <w:gridCol w:w="1153"/>
      </w:tblGrid>
      <w:tr>
        <w:tblPrEx>
          <w:tblCellMar>
            <w:top w:w="0" w:type="dxa"/>
            <w:left w:w="0" w:type="dxa"/>
            <w:bottom w:w="0" w:type="dxa"/>
            <w:right w:w="0" w:type="dxa"/>
          </w:tblCellMar>
        </w:tblPrEx>
        <w:trPr>
          <w:trHeight w:val="23"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12</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资金到位率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预算执行率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2.37</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资金使用合规性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8</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管理制度健全性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制度执行有效性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18.37</w:t>
            </w:r>
          </w:p>
        </w:tc>
      </w:tr>
    </w:tbl>
    <w:p>
      <w:pPr>
        <w:pStyle w:val="4"/>
        <w:numPr>
          <w:ilvl w:val="0"/>
          <w:numId w:val="4"/>
        </w:numPr>
        <w:ind w:firstLine="643"/>
      </w:pPr>
      <w:r>
        <w:rPr>
          <w:rFonts w:hint="eastAsia"/>
        </w:rPr>
        <w:t>项目产出情况</w:t>
      </w:r>
    </w:p>
    <w:p>
      <w:pPr>
        <w:ind w:firstLine="560"/>
        <w:rPr>
          <w:color w:val="000000"/>
          <w:u w:color="000000"/>
          <w:lang w:val="zh-TW"/>
        </w:rPr>
      </w:pPr>
      <w:r>
        <w:rPr>
          <w:rFonts w:hint="eastAsia"/>
          <w:color w:val="000000"/>
          <w:u w:color="000000"/>
          <w:lang w:val="zh-TW" w:eastAsia="zh-TW"/>
        </w:rPr>
        <w:t>项目</w:t>
      </w:r>
      <w:r>
        <w:rPr>
          <w:rFonts w:hint="eastAsia" w:ascii="仿宋_GB2312"/>
        </w:rPr>
        <w:t>产出</w:t>
      </w:r>
      <w:r>
        <w:rPr>
          <w:rFonts w:hint="eastAsia"/>
          <w:color w:val="000000"/>
          <w:u w:color="000000"/>
          <w:lang w:val="zh-TW" w:eastAsia="zh-TW"/>
        </w:rPr>
        <w:t>类指标由</w:t>
      </w:r>
      <w:r>
        <w:rPr>
          <w:rFonts w:hint="eastAsia"/>
          <w:color w:val="000000"/>
          <w:u w:color="000000"/>
        </w:rPr>
        <w:t>4</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14</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30</w:t>
      </w:r>
      <w:r>
        <w:rPr>
          <w:rFonts w:hint="eastAsia"/>
          <w:color w:val="000000"/>
          <w:u w:color="000000"/>
          <w:lang w:val="zh-TW" w:eastAsia="zh-TW"/>
        </w:rPr>
        <w:t>分，实际得分</w:t>
      </w:r>
      <w:r>
        <w:rPr>
          <w:rFonts w:hint="eastAsia"/>
          <w:color w:val="000000"/>
          <w:u w:color="000000"/>
        </w:rPr>
        <w:t>27.47</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3</w:t>
      </w:r>
      <w:r>
        <w:rPr>
          <w:rFonts w:hint="eastAsia"/>
          <w:color w:val="000000"/>
          <w:u w:color="000000"/>
          <w:lang w:val="zh-TW" w:eastAsia="zh-TW"/>
        </w:rPr>
        <w:t>所示：</w:t>
      </w:r>
    </w:p>
    <w:p>
      <w:pPr>
        <w:keepNext/>
        <w:keepLines/>
        <w:ind w:firstLine="562"/>
        <w:jc w:val="center"/>
        <w:rPr>
          <w:rFonts w:ascii="仿宋_GB2312" w:hAnsi="仿宋_GB2312" w:cs="仿宋_GB2312"/>
          <w:b/>
          <w:bCs/>
        </w:rPr>
      </w:pPr>
      <w:r>
        <w:rPr>
          <w:rFonts w:hint="eastAsia" w:ascii="仿宋_GB2312" w:hAnsi="仿宋_GB2312" w:cs="仿宋_GB2312"/>
          <w:b/>
          <w:bCs/>
          <w:color w:val="000000"/>
          <w:u w:color="000000"/>
          <w:lang w:val="zh-TW" w:eastAsia="zh-TW"/>
        </w:rPr>
        <w:t>表</w:t>
      </w:r>
      <w:r>
        <w:rPr>
          <w:rFonts w:hint="eastAsia" w:ascii="仿宋_GB2312" w:hAnsi="仿宋_GB2312" w:cs="仿宋_GB2312"/>
          <w:b/>
          <w:bCs/>
          <w:color w:val="000000"/>
          <w:u w:color="000000"/>
        </w:rPr>
        <w:t>4-3</w:t>
      </w:r>
      <w:r>
        <w:rPr>
          <w:rFonts w:hint="eastAsia" w:ascii="仿宋_GB2312" w:hAnsi="仿宋_GB2312" w:cs="仿宋_GB2312"/>
          <w:b/>
          <w:bCs/>
        </w:rPr>
        <w:t>项目产出</w:t>
      </w:r>
      <w:r>
        <w:rPr>
          <w:rFonts w:hint="eastAsia" w:ascii="仿宋_GB2312" w:hAnsi="仿宋_GB2312" w:cs="仿宋_GB2312"/>
          <w:b/>
          <w:bCs/>
          <w:color w:val="000000"/>
          <w:u w:color="000000"/>
          <w:lang w:val="zh-TW" w:eastAsia="zh-TW"/>
        </w:rPr>
        <w:t>指标及分值</w:t>
      </w:r>
      <w:r>
        <w:rPr>
          <w:rFonts w:hint="eastAsia" w:ascii="仿宋_GB2312" w:hAnsi="仿宋_GB2312" w:cs="仿宋_GB2312"/>
          <w:b/>
          <w:bCs/>
          <w:color w:val="000000"/>
          <w:u w:color="000000"/>
        </w:rPr>
        <w:t>情况</w:t>
      </w:r>
    </w:p>
    <w:tbl>
      <w:tblPr>
        <w:tblStyle w:val="10"/>
        <w:tblW w:w="8869" w:type="dxa"/>
        <w:tblInd w:w="0" w:type="dxa"/>
        <w:tblLayout w:type="fixed"/>
        <w:tblCellMar>
          <w:top w:w="0" w:type="dxa"/>
          <w:left w:w="0" w:type="dxa"/>
          <w:bottom w:w="0" w:type="dxa"/>
          <w:right w:w="0" w:type="dxa"/>
        </w:tblCellMar>
      </w:tblPr>
      <w:tblGrid>
        <w:gridCol w:w="916"/>
        <w:gridCol w:w="1031"/>
        <w:gridCol w:w="2522"/>
        <w:gridCol w:w="1439"/>
        <w:gridCol w:w="598"/>
        <w:gridCol w:w="1004"/>
        <w:gridCol w:w="727"/>
        <w:gridCol w:w="632"/>
      </w:tblGrid>
      <w:tr>
        <w:tblPrEx>
          <w:tblCellMar>
            <w:top w:w="0" w:type="dxa"/>
            <w:left w:w="0" w:type="dxa"/>
            <w:bottom w:w="0" w:type="dxa"/>
            <w:right w:w="0" w:type="dxa"/>
          </w:tblCellMar>
        </w:tblPrEx>
        <w:trPr>
          <w:trHeight w:val="23" w:hRule="atLeast"/>
        </w:trPr>
        <w:tc>
          <w:tcPr>
            <w:tcW w:w="91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一级指标</w:t>
            </w:r>
          </w:p>
        </w:tc>
        <w:tc>
          <w:tcPr>
            <w:tcW w:w="10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二级指标</w:t>
            </w:r>
          </w:p>
        </w:tc>
        <w:tc>
          <w:tcPr>
            <w:tcW w:w="252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三级指标</w:t>
            </w:r>
          </w:p>
        </w:tc>
        <w:tc>
          <w:tcPr>
            <w:tcW w:w="14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年度指标值</w:t>
            </w:r>
          </w:p>
        </w:tc>
        <w:tc>
          <w:tcPr>
            <w:tcW w:w="59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标杆分值</w:t>
            </w:r>
          </w:p>
        </w:tc>
        <w:tc>
          <w:tcPr>
            <w:tcW w:w="100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全年实际完成值</w:t>
            </w:r>
          </w:p>
        </w:tc>
        <w:tc>
          <w:tcPr>
            <w:tcW w:w="7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指标得分</w:t>
            </w:r>
          </w:p>
        </w:tc>
        <w:tc>
          <w:tcPr>
            <w:tcW w:w="63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备注</w:t>
            </w:r>
          </w:p>
        </w:tc>
      </w:tr>
      <w:tr>
        <w:tblPrEx>
          <w:tblCellMar>
            <w:top w:w="0" w:type="dxa"/>
            <w:left w:w="0" w:type="dxa"/>
            <w:bottom w:w="0" w:type="dxa"/>
            <w:right w:w="0" w:type="dxa"/>
          </w:tblCellMar>
        </w:tblPrEx>
        <w:trPr>
          <w:trHeight w:val="23" w:hRule="atLeast"/>
        </w:trPr>
        <w:tc>
          <w:tcPr>
            <w:tcW w:w="91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产出</w:t>
            </w: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数量指标</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赴内地调研人数（人）</w:t>
            </w:r>
          </w:p>
        </w:tc>
        <w:tc>
          <w:tcPr>
            <w:tcW w:w="14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5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497" w:hRule="atLeast"/>
        </w:trPr>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522"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采矿区调研人数（人）</w:t>
            </w:r>
          </w:p>
        </w:tc>
        <w:tc>
          <w:tcPr>
            <w:tcW w:w="1439"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598"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04"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727"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632"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pPr>
          </w:p>
          <w:p>
            <w:pPr>
              <w:pStyle w:val="2"/>
              <w:ind w:firstLine="562"/>
            </w:pPr>
          </w:p>
        </w:tc>
      </w:tr>
      <w:tr>
        <w:tblPrEx>
          <w:tblCellMar>
            <w:top w:w="0" w:type="dxa"/>
            <w:left w:w="0" w:type="dxa"/>
            <w:bottom w:w="0" w:type="dxa"/>
            <w:right w:w="0" w:type="dxa"/>
          </w:tblCellMar>
        </w:tblPrEx>
        <w:trPr>
          <w:trHeight w:val="496" w:hRule="atLeast"/>
        </w:trPr>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522"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宣传和田玉印刷册数（册）</w:t>
            </w:r>
          </w:p>
        </w:tc>
        <w:tc>
          <w:tcPr>
            <w:tcW w:w="1439"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≤10000</w:t>
            </w:r>
          </w:p>
        </w:tc>
        <w:tc>
          <w:tcPr>
            <w:tcW w:w="598"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04"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10000</w:t>
            </w:r>
          </w:p>
        </w:tc>
        <w:tc>
          <w:tcPr>
            <w:tcW w:w="727"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632"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pStyle w:val="2"/>
              <w:ind w:firstLine="562"/>
            </w:pPr>
          </w:p>
        </w:tc>
      </w:tr>
      <w:tr>
        <w:tblPrEx>
          <w:tblCellMar>
            <w:top w:w="0" w:type="dxa"/>
            <w:left w:w="0" w:type="dxa"/>
            <w:bottom w:w="0" w:type="dxa"/>
            <w:right w:w="0" w:type="dxa"/>
          </w:tblCellMar>
        </w:tblPrEx>
        <w:trPr>
          <w:trHeight w:val="667" w:hRule="atLeast"/>
        </w:trPr>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522"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各县市玉矿开采开挖调研次数（次）</w:t>
            </w:r>
          </w:p>
        </w:tc>
        <w:tc>
          <w:tcPr>
            <w:tcW w:w="1439"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598"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04"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727"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632"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
              <w:ind w:firstLine="562"/>
            </w:pPr>
          </w:p>
        </w:tc>
      </w:tr>
      <w:tr>
        <w:tblPrEx>
          <w:tblCellMar>
            <w:top w:w="0" w:type="dxa"/>
            <w:left w:w="0" w:type="dxa"/>
            <w:bottom w:w="0" w:type="dxa"/>
            <w:right w:w="0" w:type="dxa"/>
          </w:tblCellMar>
        </w:tblPrEx>
        <w:trPr>
          <w:trHeight w:val="853" w:hRule="atLeast"/>
        </w:trPr>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质量指标</w:t>
            </w:r>
          </w:p>
        </w:tc>
        <w:tc>
          <w:tcPr>
            <w:tcW w:w="2522"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玉石市场调研完成率（%）</w:t>
            </w:r>
          </w:p>
        </w:tc>
        <w:tc>
          <w:tcPr>
            <w:tcW w:w="1439"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w:t>
            </w:r>
          </w:p>
        </w:tc>
        <w:tc>
          <w:tcPr>
            <w:tcW w:w="598"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04"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w:t>
            </w:r>
          </w:p>
        </w:tc>
        <w:tc>
          <w:tcPr>
            <w:tcW w:w="727"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632"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24" w:hRule="atLeast"/>
        </w:trPr>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2522"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采矿调研覆盖率（%）</w:t>
            </w:r>
          </w:p>
        </w:tc>
        <w:tc>
          <w:tcPr>
            <w:tcW w:w="1439"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w:t>
            </w:r>
          </w:p>
        </w:tc>
        <w:tc>
          <w:tcPr>
            <w:tcW w:w="598"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04"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w:t>
            </w:r>
          </w:p>
        </w:tc>
        <w:tc>
          <w:tcPr>
            <w:tcW w:w="727"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632"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170" w:hRule="atLeast"/>
        </w:trPr>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2522"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采矿资质合格率（%）</w:t>
            </w:r>
          </w:p>
        </w:tc>
        <w:tc>
          <w:tcPr>
            <w:tcW w:w="1439"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w:t>
            </w:r>
          </w:p>
        </w:tc>
        <w:tc>
          <w:tcPr>
            <w:tcW w:w="598"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04"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w:t>
            </w:r>
          </w:p>
        </w:tc>
        <w:tc>
          <w:tcPr>
            <w:tcW w:w="727"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632"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投诉处理率（%）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w:t>
            </w:r>
          </w:p>
        </w:tc>
        <w:tc>
          <w:tcPr>
            <w:tcW w:w="5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时效指标</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投诉处理时间（工作日）</w:t>
            </w:r>
          </w:p>
        </w:tc>
        <w:tc>
          <w:tcPr>
            <w:tcW w:w="14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≤15</w:t>
            </w:r>
          </w:p>
        </w:tc>
        <w:tc>
          <w:tcPr>
            <w:tcW w:w="5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15</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52" w:hRule="atLeast"/>
        </w:trPr>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522"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项目截止时间</w:t>
            </w:r>
          </w:p>
        </w:tc>
        <w:tc>
          <w:tcPr>
            <w:tcW w:w="1439"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2019年12月31日</w:t>
            </w:r>
          </w:p>
        </w:tc>
        <w:tc>
          <w:tcPr>
            <w:tcW w:w="598"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04"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w:t>
            </w:r>
          </w:p>
        </w:tc>
        <w:tc>
          <w:tcPr>
            <w:tcW w:w="727"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632"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181" w:hRule="atLeast"/>
        </w:trPr>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522"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调查完成及时率（%）</w:t>
            </w:r>
          </w:p>
        </w:tc>
        <w:tc>
          <w:tcPr>
            <w:tcW w:w="1439"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w:t>
            </w:r>
          </w:p>
        </w:tc>
        <w:tc>
          <w:tcPr>
            <w:tcW w:w="598"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04"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100%</w:t>
            </w:r>
          </w:p>
        </w:tc>
        <w:tc>
          <w:tcPr>
            <w:tcW w:w="727"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632"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成本指标</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内地考察支出（万元）</w:t>
            </w:r>
          </w:p>
        </w:tc>
        <w:tc>
          <w:tcPr>
            <w:tcW w:w="14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5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3.1</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1.03</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197" w:hRule="atLeast"/>
        </w:trPr>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522"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各县市调研支出（万元）</w:t>
            </w:r>
          </w:p>
        </w:tc>
        <w:tc>
          <w:tcPr>
            <w:tcW w:w="1439"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w:t>
            </w:r>
          </w:p>
        </w:tc>
        <w:tc>
          <w:tcPr>
            <w:tcW w:w="598"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04"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0.42</w:t>
            </w:r>
          </w:p>
        </w:tc>
        <w:tc>
          <w:tcPr>
            <w:tcW w:w="727"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0.84</w:t>
            </w:r>
          </w:p>
        </w:tc>
        <w:tc>
          <w:tcPr>
            <w:tcW w:w="632"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6" w:hRule="atLeast"/>
        </w:trPr>
        <w:tc>
          <w:tcPr>
            <w:tcW w:w="916"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031"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522"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办公支出（万元）</w:t>
            </w:r>
          </w:p>
        </w:tc>
        <w:tc>
          <w:tcPr>
            <w:tcW w:w="1439"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598"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04"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2.4</w:t>
            </w:r>
          </w:p>
        </w:tc>
        <w:tc>
          <w:tcPr>
            <w:tcW w:w="727"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1.6</w:t>
            </w:r>
          </w:p>
        </w:tc>
        <w:tc>
          <w:tcPr>
            <w:tcW w:w="632"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590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5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30</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27.47</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bl>
    <w:p>
      <w:pPr>
        <w:pStyle w:val="4"/>
        <w:numPr>
          <w:ilvl w:val="0"/>
          <w:numId w:val="4"/>
        </w:numPr>
        <w:ind w:firstLine="643"/>
      </w:pPr>
      <w:r>
        <w:rPr>
          <w:rFonts w:hint="eastAsia"/>
        </w:rPr>
        <w:t>项目效益情况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产出</w:t>
      </w:r>
      <w:r>
        <w:rPr>
          <w:rFonts w:hint="eastAsia"/>
          <w:color w:val="000000"/>
          <w:u w:color="000000"/>
          <w:lang w:val="zh-TW" w:eastAsia="zh-TW"/>
        </w:rPr>
        <w:t>类指标由4个二级指标和5个三级指标构成，权重分30分，实际得分</w:t>
      </w:r>
      <w:r>
        <w:rPr>
          <w:rFonts w:hint="eastAsia"/>
          <w:color w:val="000000"/>
          <w:u w:color="000000"/>
        </w:rPr>
        <w:t>28.2</w:t>
      </w:r>
      <w:r>
        <w:rPr>
          <w:rFonts w:hint="eastAsia"/>
          <w:color w:val="000000"/>
          <w:u w:color="000000"/>
          <w:lang w:val="zh-TW" w:eastAsia="zh-TW"/>
        </w:rPr>
        <w:t>分，各指标业绩值和绩效分值如表</w:t>
      </w:r>
      <w:r>
        <w:rPr>
          <w:rFonts w:hint="eastAsia"/>
          <w:color w:val="000000"/>
          <w:u w:color="000000"/>
        </w:rPr>
        <w:t>4</w:t>
      </w:r>
      <w:r>
        <w:rPr>
          <w:color w:val="000000"/>
          <w:u w:color="000000"/>
        </w:rPr>
        <w:t>-</w:t>
      </w:r>
      <w:r>
        <w:rPr>
          <w:rFonts w:hint="eastAsia"/>
          <w:color w:val="000000"/>
          <w:u w:color="000000"/>
        </w:rPr>
        <w:t>3</w:t>
      </w:r>
      <w:r>
        <w:rPr>
          <w:rFonts w:hint="eastAsia"/>
          <w:color w:val="000000"/>
          <w:u w:color="000000"/>
          <w:lang w:val="zh-TW" w:eastAsia="zh-TW"/>
        </w:rPr>
        <w:t>所示：</w:t>
      </w:r>
    </w:p>
    <w:p>
      <w:pPr>
        <w:keepNext/>
        <w:keepLines/>
        <w:ind w:firstLine="562"/>
        <w:jc w:val="center"/>
        <w:rPr>
          <w:b/>
        </w:rPr>
      </w:pPr>
      <w:r>
        <w:rPr>
          <w:rFonts w:hint="eastAsia" w:ascii="仿宋_GB2312" w:hAnsi="仿宋_GB2312" w:cs="仿宋_GB2312"/>
          <w:b/>
          <w:bCs/>
          <w:color w:val="000000"/>
          <w:u w:color="000000"/>
          <w:lang w:val="zh-TW" w:eastAsia="zh-TW"/>
        </w:rPr>
        <w:t>表</w:t>
      </w:r>
      <w:r>
        <w:rPr>
          <w:rFonts w:hint="eastAsia" w:ascii="仿宋_GB2312" w:hAnsi="仿宋_GB2312" w:cs="仿宋_GB2312"/>
          <w:b/>
          <w:bCs/>
          <w:color w:val="000000"/>
          <w:u w:color="000000"/>
        </w:rPr>
        <w:t>4-4</w:t>
      </w:r>
      <w:r>
        <w:rPr>
          <w:rFonts w:hint="eastAsia" w:ascii="仿宋_GB2312" w:hAnsi="仿宋_GB2312" w:cs="仿宋_GB2312"/>
          <w:b/>
          <w:bCs/>
        </w:rPr>
        <w:t>项目效益</w:t>
      </w:r>
      <w:r>
        <w:rPr>
          <w:rFonts w:hint="eastAsia" w:ascii="仿宋_GB2312" w:hAnsi="仿宋_GB2312" w:cs="仿宋_GB2312"/>
          <w:b/>
          <w:bCs/>
          <w:color w:val="000000"/>
          <w:u w:color="000000"/>
          <w:lang w:val="zh-TW" w:eastAsia="zh-TW"/>
        </w:rPr>
        <w:t>指标及分值</w:t>
      </w:r>
      <w:r>
        <w:rPr>
          <w:rFonts w:hint="eastAsia" w:ascii="仿宋_GB2312" w:hAnsi="仿宋_GB2312" w:cs="仿宋_GB2312"/>
          <w:b/>
          <w:bCs/>
          <w:color w:val="000000"/>
          <w:u w:color="000000"/>
        </w:rPr>
        <w:t>情况</w:t>
      </w:r>
    </w:p>
    <w:tbl>
      <w:tblPr>
        <w:tblStyle w:val="10"/>
        <w:tblW w:w="9137" w:type="dxa"/>
        <w:tblInd w:w="0" w:type="dxa"/>
        <w:tblLayout w:type="fixed"/>
        <w:tblCellMar>
          <w:top w:w="0" w:type="dxa"/>
          <w:left w:w="0" w:type="dxa"/>
          <w:bottom w:w="0" w:type="dxa"/>
          <w:right w:w="0" w:type="dxa"/>
        </w:tblCellMar>
      </w:tblPr>
      <w:tblGrid>
        <w:gridCol w:w="838"/>
        <w:gridCol w:w="1115"/>
        <w:gridCol w:w="2896"/>
        <w:gridCol w:w="1371"/>
        <w:gridCol w:w="519"/>
        <w:gridCol w:w="1133"/>
        <w:gridCol w:w="565"/>
        <w:gridCol w:w="700"/>
      </w:tblGrid>
      <w:tr>
        <w:tblPrEx>
          <w:tblCellMar>
            <w:top w:w="0" w:type="dxa"/>
            <w:left w:w="0" w:type="dxa"/>
            <w:bottom w:w="0" w:type="dxa"/>
            <w:right w:w="0" w:type="dxa"/>
          </w:tblCellMar>
        </w:tblPrEx>
        <w:trPr>
          <w:trHeight w:val="23" w:hRule="atLeast"/>
          <w:tblHeader/>
        </w:trPr>
        <w:tc>
          <w:tcPr>
            <w:tcW w:w="83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一级指标</w:t>
            </w:r>
          </w:p>
        </w:tc>
        <w:tc>
          <w:tcPr>
            <w:tcW w:w="11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二级指标</w:t>
            </w:r>
          </w:p>
        </w:tc>
        <w:tc>
          <w:tcPr>
            <w:tcW w:w="28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三级指标</w:t>
            </w:r>
          </w:p>
        </w:tc>
        <w:tc>
          <w:tcPr>
            <w:tcW w:w="13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年度指标值</w:t>
            </w:r>
          </w:p>
        </w:tc>
        <w:tc>
          <w:tcPr>
            <w:tcW w:w="5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标杆分值</w:t>
            </w:r>
          </w:p>
        </w:tc>
        <w:tc>
          <w:tcPr>
            <w:tcW w:w="11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全年实际完成值</w:t>
            </w:r>
          </w:p>
        </w:tc>
        <w:tc>
          <w:tcPr>
            <w:tcW w:w="5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指标得分</w:t>
            </w:r>
          </w:p>
        </w:tc>
        <w:tc>
          <w:tcPr>
            <w:tcW w:w="7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rPr>
              <w:t>备注</w:t>
            </w:r>
          </w:p>
        </w:tc>
      </w:tr>
      <w:tr>
        <w:tblPrEx>
          <w:tblCellMar>
            <w:top w:w="0" w:type="dxa"/>
            <w:left w:w="0" w:type="dxa"/>
            <w:bottom w:w="0" w:type="dxa"/>
            <w:right w:w="0" w:type="dxa"/>
          </w:tblCellMar>
        </w:tblPrEx>
        <w:trPr>
          <w:trHeight w:val="23" w:hRule="atLeast"/>
        </w:trPr>
        <w:tc>
          <w:tcPr>
            <w:tcW w:w="838" w:type="dxa"/>
            <w:vMerge w:val="restart"/>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社会效益指标</w:t>
            </w:r>
          </w:p>
        </w:tc>
        <w:tc>
          <w:tcPr>
            <w:tcW w:w="28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推动和田玉交易市场规范化</w:t>
            </w:r>
          </w:p>
        </w:tc>
        <w:tc>
          <w:tcPr>
            <w:tcW w:w="13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有效推动</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90%</w:t>
            </w:r>
          </w:p>
        </w:tc>
        <w:tc>
          <w:tcPr>
            <w:tcW w:w="5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5.4</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8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促进玉石行业健康发展</w:t>
            </w:r>
          </w:p>
        </w:tc>
        <w:tc>
          <w:tcPr>
            <w:tcW w:w="13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有效促进</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90%</w:t>
            </w:r>
          </w:p>
        </w:tc>
        <w:tc>
          <w:tcPr>
            <w:tcW w:w="5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5.4</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可持续影响指标</w:t>
            </w:r>
          </w:p>
        </w:tc>
        <w:tc>
          <w:tcPr>
            <w:tcW w:w="28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打造具有和田地区特色玉石旅游文化</w:t>
            </w:r>
          </w:p>
        </w:tc>
        <w:tc>
          <w:tcPr>
            <w:tcW w:w="13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长期</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90%</w:t>
            </w:r>
          </w:p>
        </w:tc>
        <w:tc>
          <w:tcPr>
            <w:tcW w:w="5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5.4</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838" w:type="dxa"/>
            <w:vMerge w:val="continue"/>
            <w:tcBorders>
              <w:top w:val="single" w:color="auto" w:sz="4" w:space="0"/>
              <w:left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5" w:type="dxa"/>
            <w:vMerge w:val="restart"/>
            <w:tcBorders>
              <w:top w:val="single" w:color="auto" w:sz="4" w:space="0"/>
              <w:left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满意度指标</w:t>
            </w:r>
          </w:p>
        </w:tc>
        <w:tc>
          <w:tcPr>
            <w:tcW w:w="2896"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对干部职工满意度（%）</w:t>
            </w:r>
          </w:p>
        </w:tc>
        <w:tc>
          <w:tcPr>
            <w:tcW w:w="1371"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≥98%</w:t>
            </w:r>
          </w:p>
        </w:tc>
        <w:tc>
          <w:tcPr>
            <w:tcW w:w="519"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1133"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98%</w:t>
            </w:r>
          </w:p>
        </w:tc>
        <w:tc>
          <w:tcPr>
            <w:tcW w:w="565"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700"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838"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1115"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p>
        </w:tc>
        <w:tc>
          <w:tcPr>
            <w:tcW w:w="28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对服务群众满意度（%）</w:t>
            </w:r>
          </w:p>
        </w:tc>
        <w:tc>
          <w:tcPr>
            <w:tcW w:w="13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≥97%</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97%</w:t>
            </w:r>
          </w:p>
        </w:tc>
        <w:tc>
          <w:tcPr>
            <w:tcW w:w="5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r>
        <w:tblPrEx>
          <w:tblCellMar>
            <w:top w:w="0" w:type="dxa"/>
            <w:left w:w="0" w:type="dxa"/>
            <w:bottom w:w="0" w:type="dxa"/>
            <w:right w:w="0" w:type="dxa"/>
          </w:tblCellMar>
        </w:tblPrEx>
        <w:trPr>
          <w:trHeight w:val="23" w:hRule="atLeast"/>
        </w:trPr>
        <w:tc>
          <w:tcPr>
            <w:tcW w:w="6220"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30</w:t>
            </w: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28.2</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4"/>
              </w:rPr>
            </w:pPr>
          </w:p>
        </w:tc>
      </w:tr>
    </w:tbl>
    <w:p>
      <w:pPr>
        <w:pStyle w:val="3"/>
        <w:ind w:firstLine="640"/>
      </w:pPr>
      <w:r>
        <w:rPr>
          <w:rFonts w:hint="eastAsia"/>
        </w:rPr>
        <w:t>五、主要经验及做法、存在的问题及原因分析</w:t>
      </w:r>
    </w:p>
    <w:p>
      <w:pPr>
        <w:pStyle w:val="4"/>
        <w:numPr>
          <w:ilvl w:val="0"/>
          <w:numId w:val="6"/>
        </w:numPr>
        <w:ind w:firstLine="643"/>
      </w:pPr>
      <w:bookmarkStart w:id="12" w:name="_Toc1921"/>
      <w:bookmarkStart w:id="13" w:name="_Toc28290"/>
      <w:r>
        <w:rPr>
          <w:rFonts w:hint="eastAsia"/>
        </w:rPr>
        <w:t>主要经验及做法</w:t>
      </w:r>
    </w:p>
    <w:p>
      <w:pPr>
        <w:ind w:firstLine="560"/>
      </w:pPr>
      <w:r>
        <w:rPr>
          <w:rFonts w:hint="eastAsia"/>
        </w:rPr>
        <w:t>按照划行规市要求，整合小微、散和田玉交易市场，规范和田玉交易市场建设；加大对和田玉市场检查力度，严厉打击假冒伪劣和田玉及玉产品。</w:t>
      </w:r>
    </w:p>
    <w:bookmarkEnd w:id="12"/>
    <w:bookmarkEnd w:id="13"/>
    <w:p>
      <w:pPr>
        <w:pStyle w:val="4"/>
        <w:numPr>
          <w:ilvl w:val="0"/>
          <w:numId w:val="6"/>
        </w:numPr>
        <w:ind w:firstLine="643"/>
      </w:pPr>
      <w:r>
        <w:rPr>
          <w:rFonts w:hint="eastAsia"/>
        </w:rPr>
        <w:t>存在的问题及原因分析</w:t>
      </w:r>
    </w:p>
    <w:p>
      <w:pPr>
        <w:ind w:firstLine="560"/>
      </w:pPr>
      <w:r>
        <w:rPr>
          <w:rFonts w:hint="eastAsia"/>
        </w:rPr>
        <w:t>严格按照中央八项规定、财务规章制度经费支出标准执行，节约控制成本。</w:t>
      </w:r>
    </w:p>
    <w:p>
      <w:pPr>
        <w:pStyle w:val="3"/>
        <w:ind w:firstLine="640"/>
      </w:pPr>
      <w:r>
        <w:rPr>
          <w:rFonts w:hint="eastAsia"/>
        </w:rPr>
        <w:t>六、有关建议</w:t>
      </w:r>
    </w:p>
    <w:p>
      <w:pPr>
        <w:ind w:firstLine="560"/>
      </w:pPr>
      <w:r>
        <w:rPr>
          <w:rFonts w:hint="eastAsia"/>
        </w:rPr>
        <w:t>学习考察经费结余4.08万元，建议2020年继续使用，做好和田玉宣传推广、课题研究等各项工作的开展。</w:t>
      </w:r>
    </w:p>
    <w:p>
      <w:pPr>
        <w:pStyle w:val="3"/>
        <w:ind w:firstLine="640"/>
      </w:pPr>
      <w:r>
        <w:rPr>
          <w:rFonts w:hint="eastAsia"/>
        </w:rPr>
        <w:t>七、其他需要说明的问题</w:t>
      </w:r>
    </w:p>
    <w:p>
      <w:pPr>
        <w:ind w:firstLine="544"/>
        <w:rPr>
          <w:strike/>
          <w:spacing w:val="-4"/>
          <w:szCs w:val="32"/>
        </w:rPr>
      </w:pPr>
      <w:r>
        <w:rPr>
          <w:rFonts w:hint="eastAsia"/>
          <w:spacing w:val="-4"/>
          <w:szCs w:val="32"/>
        </w:rPr>
        <w:t>无其他说明内容。</w:t>
      </w:r>
    </w:p>
    <w:p>
      <w:pPr>
        <w:widowControl/>
        <w:spacing w:line="240" w:lineRule="auto"/>
        <w:ind w:firstLine="0" w:firstLineChars="0"/>
        <w:jc w:val="left"/>
        <w:rPr>
          <w:rFonts w:ascii="仿宋_GB2312" w:hAnsi="宋体" w:cs="宋体"/>
          <w:color w:val="000000"/>
          <w:kern w:val="0"/>
          <w:szCs w:val="28"/>
        </w:rPr>
      </w:pPr>
      <w:bookmarkStart w:id="14" w:name="_GoBack"/>
      <w:bookmarkEnd w:id="14"/>
    </w:p>
    <w:sectPr>
      <w:footerReference r:id="rId9" w:type="default"/>
      <w:pgSz w:w="16838" w:h="11906" w:orient="landscape"/>
      <w:pgMar w:top="1531" w:right="1928" w:bottom="1531" w:left="170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7"/>
                  <w:ind w:firstLine="360"/>
                </w:pPr>
                <w:r>
                  <w:fldChar w:fldCharType="begin"/>
                </w:r>
                <w:r>
                  <w:instrText xml:space="preserve"> PAGE  \* MERGEFORMAT </w:instrText>
                </w:r>
                <w:r>
                  <w:fldChar w:fldCharType="separate"/>
                </w:r>
                <w:r>
                  <w:t>4</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2AEF92"/>
    <w:multiLevelType w:val="singleLevel"/>
    <w:tmpl w:val="A02AEF92"/>
    <w:lvl w:ilvl="0" w:tentative="0">
      <w:start w:val="1"/>
      <w:numFmt w:val="decimal"/>
      <w:suff w:val="nothing"/>
      <w:lvlText w:val="（%1）"/>
      <w:lvlJc w:val="left"/>
    </w:lvl>
  </w:abstractNum>
  <w:abstractNum w:abstractNumId="1">
    <w:nsid w:val="D5637710"/>
    <w:multiLevelType w:val="singleLevel"/>
    <w:tmpl w:val="D5637710"/>
    <w:lvl w:ilvl="0" w:tentative="0">
      <w:start w:val="2"/>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1"/>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8291A1A"/>
    <w:rsid w:val="001C7931"/>
    <w:rsid w:val="00280CB5"/>
    <w:rsid w:val="002D755B"/>
    <w:rsid w:val="003D164D"/>
    <w:rsid w:val="004B5587"/>
    <w:rsid w:val="0050054A"/>
    <w:rsid w:val="00542097"/>
    <w:rsid w:val="00605096"/>
    <w:rsid w:val="006A55F5"/>
    <w:rsid w:val="006D1FC3"/>
    <w:rsid w:val="006E3E0B"/>
    <w:rsid w:val="0075294E"/>
    <w:rsid w:val="00763DFF"/>
    <w:rsid w:val="007D1AD6"/>
    <w:rsid w:val="00806EC0"/>
    <w:rsid w:val="008750AE"/>
    <w:rsid w:val="009B5A6C"/>
    <w:rsid w:val="009B5CF5"/>
    <w:rsid w:val="00AA2614"/>
    <w:rsid w:val="00BA3772"/>
    <w:rsid w:val="00BA7CBD"/>
    <w:rsid w:val="00C9451F"/>
    <w:rsid w:val="00CF0767"/>
    <w:rsid w:val="00D149E1"/>
    <w:rsid w:val="00E715E5"/>
    <w:rsid w:val="00EA7B8B"/>
    <w:rsid w:val="00F15BED"/>
    <w:rsid w:val="00F87A5E"/>
    <w:rsid w:val="031F2F07"/>
    <w:rsid w:val="07F62B57"/>
    <w:rsid w:val="0C9A5FBD"/>
    <w:rsid w:val="0CE57393"/>
    <w:rsid w:val="0E2A08C5"/>
    <w:rsid w:val="0FF62C78"/>
    <w:rsid w:val="11726F0D"/>
    <w:rsid w:val="12F1313F"/>
    <w:rsid w:val="17364B2D"/>
    <w:rsid w:val="17745E60"/>
    <w:rsid w:val="1E716DE6"/>
    <w:rsid w:val="1FAD07BA"/>
    <w:rsid w:val="202A4AF2"/>
    <w:rsid w:val="245E1E24"/>
    <w:rsid w:val="24D82D02"/>
    <w:rsid w:val="24EF3E25"/>
    <w:rsid w:val="2C103347"/>
    <w:rsid w:val="2CD74D5E"/>
    <w:rsid w:val="2D6B0671"/>
    <w:rsid w:val="2E483E7E"/>
    <w:rsid w:val="2F0576D5"/>
    <w:rsid w:val="2F6910AE"/>
    <w:rsid w:val="2F793CF4"/>
    <w:rsid w:val="30890917"/>
    <w:rsid w:val="31684CE4"/>
    <w:rsid w:val="31C53D99"/>
    <w:rsid w:val="332F7DDD"/>
    <w:rsid w:val="33944516"/>
    <w:rsid w:val="36185B49"/>
    <w:rsid w:val="3B862016"/>
    <w:rsid w:val="3FFD453C"/>
    <w:rsid w:val="42FE3854"/>
    <w:rsid w:val="430C1F75"/>
    <w:rsid w:val="4579640C"/>
    <w:rsid w:val="4BA251FF"/>
    <w:rsid w:val="4CF03318"/>
    <w:rsid w:val="4F733A2D"/>
    <w:rsid w:val="5051428E"/>
    <w:rsid w:val="50903247"/>
    <w:rsid w:val="538613AB"/>
    <w:rsid w:val="544312B6"/>
    <w:rsid w:val="546C1EAD"/>
    <w:rsid w:val="5D87634F"/>
    <w:rsid w:val="60937F5E"/>
    <w:rsid w:val="61EA3381"/>
    <w:rsid w:val="636D1879"/>
    <w:rsid w:val="67320B71"/>
    <w:rsid w:val="67D6351C"/>
    <w:rsid w:val="68291A1A"/>
    <w:rsid w:val="689430F8"/>
    <w:rsid w:val="691B1594"/>
    <w:rsid w:val="6CAE5F0B"/>
    <w:rsid w:val="6E3843D3"/>
    <w:rsid w:val="6E9B5CD1"/>
    <w:rsid w:val="6F0D6C22"/>
    <w:rsid w:val="76D2301A"/>
    <w:rsid w:val="77861774"/>
    <w:rsid w:val="79300B45"/>
    <w:rsid w:val="79A17504"/>
    <w:rsid w:val="79C4274F"/>
    <w:rsid w:val="7B3D129B"/>
    <w:rsid w:val="7E354538"/>
    <w:rsid w:val="7E617414"/>
    <w:rsid w:val="7E7670F2"/>
    <w:rsid w:val="7F535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7"/>
    <w:qFormat/>
    <w:uiPriority w:val="0"/>
    <w:pPr>
      <w:jc w:val="left"/>
    </w:pPr>
  </w:style>
  <w:style w:type="paragraph" w:styleId="6">
    <w:name w:val="Balloon Text"/>
    <w:basedOn w:val="1"/>
    <w:link w:val="16"/>
    <w:qFormat/>
    <w:uiPriority w:val="0"/>
    <w:pPr>
      <w:spacing w:line="240" w:lineRule="auto"/>
    </w:pPr>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annotation subject"/>
    <w:basedOn w:val="5"/>
    <w:next w:val="5"/>
    <w:link w:val="18"/>
    <w:qFormat/>
    <w:uiPriority w:val="0"/>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qFormat/>
    <w:uiPriority w:val="0"/>
    <w:rPr>
      <w:sz w:val="21"/>
      <w:szCs w:val="21"/>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5">
    <w:name w:val="标题2"/>
    <w:basedOn w:val="4"/>
    <w:qFormat/>
    <w:uiPriority w:val="0"/>
    <w:pPr>
      <w:numPr>
        <w:ilvl w:val="0"/>
        <w:numId w:val="1"/>
      </w:numPr>
      <w:spacing w:before="120" w:after="120" w:line="500" w:lineRule="exact"/>
    </w:pPr>
    <w:rPr>
      <w:rFonts w:ascii="仿宋_GB2312" w:eastAsia="仿宋_GB2312"/>
    </w:rPr>
  </w:style>
  <w:style w:type="character" w:customStyle="1" w:styleId="16">
    <w:name w:val="批注框文本 Char"/>
    <w:basedOn w:val="12"/>
    <w:link w:val="6"/>
    <w:qFormat/>
    <w:uiPriority w:val="0"/>
    <w:rPr>
      <w:rFonts w:eastAsia="仿宋_GB2312"/>
      <w:kern w:val="2"/>
      <w:sz w:val="18"/>
      <w:szCs w:val="18"/>
    </w:rPr>
  </w:style>
  <w:style w:type="character" w:customStyle="1" w:styleId="17">
    <w:name w:val="批注文字 Char"/>
    <w:basedOn w:val="12"/>
    <w:link w:val="5"/>
    <w:qFormat/>
    <w:uiPriority w:val="0"/>
    <w:rPr>
      <w:rFonts w:eastAsia="仿宋_GB2312"/>
      <w:kern w:val="2"/>
      <w:sz w:val="28"/>
      <w:szCs w:val="24"/>
    </w:rPr>
  </w:style>
  <w:style w:type="character" w:customStyle="1" w:styleId="18">
    <w:name w:val="批注主题 Char"/>
    <w:basedOn w:val="17"/>
    <w:link w:val="9"/>
    <w:qFormat/>
    <w:uiPriority w:val="0"/>
    <w:rPr>
      <w:rFonts w:eastAsia="仿宋_GB2312"/>
      <w:b/>
      <w:bCs/>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4EE069-DEF7-40EE-BD53-7FA75E4EE025}">
  <ds:schemaRefs/>
</ds:datastoreItem>
</file>

<file path=docProps/app.xml><?xml version="1.0" encoding="utf-8"?>
<Properties xmlns="http://schemas.openxmlformats.org/officeDocument/2006/extended-properties" xmlns:vt="http://schemas.openxmlformats.org/officeDocument/2006/docPropsVTypes">
  <Template>Normal</Template>
  <Company>电脑维修 数据恢复</Company>
  <Pages>24</Pages>
  <Words>1727</Words>
  <Characters>9849</Characters>
  <Lines>82</Lines>
  <Paragraphs>23</Paragraphs>
  <TotalTime>42</TotalTime>
  <ScaleCrop>false</ScaleCrop>
  <LinksUpToDate>false</LinksUpToDate>
  <CharactersWithSpaces>11553</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2020-04-30T02:30:00Z</dcterms:created>
  <dc:creator>驰远天合-柴万顺-18690160103</dc:creator>
  <cp:lastModifiedBy>F-pc</cp:lastModifiedBy>
  <cp:lastPrinted>2020-04-29T05:43:00Z</cp:lastPrinted>
  <dcterms:modified xsi:type="dcterms:W3CDTF">2020-10-29T03:14:27Z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