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非物质文化遗产保护经费项目支出绩效评价报告</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2"/>
        <w:rPr>
          <w:rFonts w:ascii="黑体" w:eastAsia="黑体"/>
          <w:b/>
          <w:color w:val="000000"/>
          <w:sz w:val="30"/>
          <w:szCs w:val="30"/>
        </w:rPr>
      </w:pPr>
      <w:r>
        <w:rPr>
          <w:rFonts w:hint="eastAsia" w:ascii="黑体" w:eastAsia="黑体"/>
          <w:b/>
          <w:color w:val="000000"/>
          <w:sz w:val="30"/>
          <w:szCs w:val="30"/>
        </w:rPr>
        <w:t>项目名称：非物质文化遗产保护经费项目</w:t>
      </w:r>
    </w:p>
    <w:p>
      <w:pPr>
        <w:spacing w:line="360" w:lineRule="auto"/>
        <w:ind w:left="2406" w:leftChars="214" w:hanging="1807" w:hangingChars="600"/>
        <w:jc w:val="left"/>
        <w:rPr>
          <w:rFonts w:ascii="黑体" w:eastAsia="黑体"/>
          <w:b/>
          <w:color w:val="000000"/>
          <w:sz w:val="30"/>
          <w:szCs w:val="30"/>
        </w:rPr>
      </w:pPr>
      <w:r>
        <w:rPr>
          <w:rFonts w:hint="eastAsia" w:ascii="黑体" w:eastAsia="黑体"/>
          <w:b/>
          <w:color w:val="000000"/>
          <w:sz w:val="30"/>
          <w:szCs w:val="30"/>
        </w:rPr>
        <w:t>实施单位：和田地区文化体育广播电视和旅游局（和田地区文物局）</w:t>
      </w:r>
    </w:p>
    <w:p>
      <w:pPr>
        <w:spacing w:line="360" w:lineRule="auto"/>
        <w:ind w:firstLine="602"/>
        <w:rPr>
          <w:rFonts w:ascii="黑体" w:eastAsia="黑体"/>
          <w:b/>
          <w:color w:val="000000"/>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b/>
          <w:color w:val="000000"/>
          <w:sz w:val="30"/>
          <w:szCs w:val="30"/>
        </w:rPr>
        <w:t>主管部门：和田地委宣传部</w:t>
      </w:r>
    </w:p>
    <w:p>
      <w:pPr>
        <w:spacing w:line="240" w:lineRule="atLeast"/>
        <w:rPr>
          <w:rFonts w:ascii="黑体" w:hAnsi="黑体" w:eastAsia="黑体" w:cs="黑体"/>
          <w:b/>
          <w:bCs/>
          <w:sz w:val="36"/>
          <w:szCs w:val="36"/>
        </w:rPr>
      </w:pPr>
      <w:r>
        <w:rPr>
          <w:rFonts w:hint="eastAsia" w:ascii="黑体" w:hAnsi="黑体" w:eastAsia="黑体" w:cs="黑体"/>
          <w:b/>
          <w:bCs/>
          <w:sz w:val="36"/>
          <w:szCs w:val="36"/>
        </w:rPr>
        <w:t>非物质文化遗产保护经费项目支出绩效评价报告</w:t>
      </w:r>
    </w:p>
    <w:p>
      <w:pPr>
        <w:pStyle w:val="3"/>
        <w:ind w:firstLine="640"/>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ind w:firstLine="560"/>
        <w:rPr>
          <w:rFonts w:eastAsia="仿宋"/>
        </w:rPr>
      </w:pPr>
      <w:r>
        <w:rPr>
          <w:rFonts w:hint="eastAsia"/>
        </w:rPr>
        <w:t>本项目对全地区19名非物质文化遗产传承人发放补助经费，用于传承保护传统技艺并推动抢救保护工作，地区、七县一市每位传承人根据自己所申报的非遗项目整理挖掘非遗资料、培训辅导非遗学员，</w:t>
      </w:r>
      <w:r>
        <w:rPr>
          <w:rFonts w:hint="eastAsia" w:ascii="仿宋" w:hAnsi="仿宋" w:eastAsia="仿宋" w:cs="仿宋"/>
          <w:kern w:val="0"/>
          <w:szCs w:val="28"/>
        </w:rPr>
        <w:t>使非物质文化遗产传承代代相承，后继有人。</w:t>
      </w:r>
    </w:p>
    <w:p>
      <w:pPr>
        <w:pStyle w:val="2"/>
        <w:ind w:firstLine="562"/>
      </w:pPr>
      <w:r>
        <w:rPr>
          <w:rFonts w:hint="eastAsia"/>
        </w:rPr>
        <w:t>2.项目实施主体</w:t>
      </w:r>
    </w:p>
    <w:p>
      <w:pPr>
        <w:ind w:firstLine="560"/>
      </w:pPr>
      <w:r>
        <w:rPr>
          <w:rFonts w:hint="eastAsia"/>
        </w:rPr>
        <w:t>负责非物质文化遗产保护和研究。推动非物质文化遗产的保护、传承、普及、弘扬和振兴。负责推进广播电视与新媒体新技术新业态整合发展，推进广电网与电信网、互联网三网融合。</w:t>
      </w:r>
    </w:p>
    <w:p>
      <w:pPr>
        <w:pStyle w:val="2"/>
        <w:ind w:firstLine="562"/>
      </w:pPr>
      <w:r>
        <w:rPr>
          <w:rFonts w:hint="eastAsia"/>
        </w:rPr>
        <w:t>3.项目组织结构</w:t>
      </w:r>
    </w:p>
    <w:p>
      <w:pPr>
        <w:ind w:firstLine="560"/>
      </w:pPr>
      <w:r>
        <w:rPr>
          <w:rFonts w:hint="eastAsia"/>
        </w:rPr>
        <w:t>为确保我单位该项目的顺利实施，我单位成立项目实施小组。</w:t>
      </w:r>
    </w:p>
    <w:p>
      <w:pPr>
        <w:pStyle w:val="2"/>
        <w:ind w:firstLine="562"/>
      </w:pPr>
      <w:r>
        <w:rPr>
          <w:rFonts w:hint="eastAsia"/>
        </w:rPr>
        <w:t>4.主要内容及实施情况</w:t>
      </w:r>
    </w:p>
    <w:p>
      <w:pPr>
        <w:ind w:firstLine="560"/>
      </w:pPr>
      <w:r>
        <w:rPr>
          <w:rFonts w:hint="eastAsia"/>
        </w:rPr>
        <w:t>本项目全部用于和田地区非物质遗产的19名非物质文化遗产传承人发放补助经费，以每月每季，汇总年度不定期监督指导传承非遗项目。</w:t>
      </w:r>
    </w:p>
    <w:p>
      <w:pPr>
        <w:pStyle w:val="2"/>
        <w:ind w:firstLine="562"/>
      </w:pPr>
      <w:r>
        <w:rPr>
          <w:rFonts w:hint="eastAsia"/>
        </w:rPr>
        <w:t>5.资金投入和使用情况</w:t>
      </w:r>
    </w:p>
    <w:p>
      <w:pPr>
        <w:ind w:firstLine="560"/>
      </w:pPr>
      <w:r>
        <w:rPr>
          <w:rFonts w:hint="eastAsia"/>
        </w:rPr>
        <w:t>（1）项目资金安排落实、总投入等情况分析</w:t>
      </w:r>
    </w:p>
    <w:p>
      <w:pPr>
        <w:spacing w:line="240" w:lineRule="atLeast"/>
        <w:ind w:firstLine="560"/>
      </w:pPr>
      <w:r>
        <w:rPr>
          <w:rFonts w:hint="eastAsia"/>
        </w:rPr>
        <w:t>非物质文化遗产保护经费项目</w:t>
      </w:r>
      <w:r>
        <w:t>预算安排总额为</w:t>
      </w:r>
      <w:r>
        <w:rPr>
          <w:rFonts w:hint="eastAsia"/>
        </w:rPr>
        <w:t>9.12</w:t>
      </w:r>
      <w:r>
        <w:t>万元，其中财政资金</w:t>
      </w:r>
      <w:r>
        <w:rPr>
          <w:rFonts w:hint="eastAsia"/>
        </w:rPr>
        <w:t>9.12</w:t>
      </w:r>
      <w:r>
        <w:t>万元，其他资金</w:t>
      </w:r>
      <w:r>
        <w:rPr>
          <w:rFonts w:hint="eastAsia"/>
        </w:rPr>
        <w:t>0</w:t>
      </w:r>
      <w:r>
        <w:t>万元，2019年实际收到预算资金</w:t>
      </w:r>
      <w:r>
        <w:rPr>
          <w:rFonts w:hint="eastAsia"/>
        </w:rPr>
        <w:t>9.12</w:t>
      </w:r>
      <w:r>
        <w:t>万元，预算资金到位率为</w:t>
      </w:r>
      <w:r>
        <w:rPr>
          <w:rFonts w:hint="eastAsia"/>
        </w:rPr>
        <w:t>100</w:t>
      </w:r>
      <w:r>
        <w:t>%。</w:t>
      </w:r>
    </w:p>
    <w:p>
      <w:pPr>
        <w:numPr>
          <w:ilvl w:val="0"/>
          <w:numId w:val="2"/>
        </w:numPr>
        <w:ind w:firstLine="544"/>
        <w:rPr>
          <w:rFonts w:ascii="楷体" w:hAnsi="楷体" w:eastAsia="楷体"/>
          <w:bCs/>
          <w:spacing w:val="-4"/>
        </w:rPr>
      </w:pPr>
      <w:r>
        <w:rPr>
          <w:rFonts w:hint="eastAsia" w:ascii="楷体" w:hAnsi="楷体" w:eastAsia="楷体"/>
          <w:bCs/>
          <w:spacing w:val="-4"/>
        </w:rPr>
        <w:t>项目资金实际使用情况分析</w:t>
      </w:r>
    </w:p>
    <w:p>
      <w:pPr>
        <w:ind w:firstLine="560"/>
      </w:pPr>
      <w:r>
        <w:rPr>
          <w:rFonts w:hint="eastAsia"/>
        </w:rPr>
        <w:t>本项目实际支付资金9.12万元，预算执行率100</w:t>
      </w:r>
      <w:r>
        <w:t>%</w:t>
      </w:r>
      <w:r>
        <w:rPr>
          <w:rFonts w:hint="eastAsia"/>
        </w:rPr>
        <w:t>，项目资金主要用于支付19名非物质文化遗产传承人发放补助经费9.12万元。</w:t>
      </w:r>
    </w:p>
    <w:p>
      <w:pPr>
        <w:pStyle w:val="4"/>
        <w:numPr>
          <w:ilvl w:val="0"/>
          <w:numId w:val="3"/>
        </w:numPr>
        <w:ind w:firstLine="643"/>
      </w:pPr>
      <w:r>
        <w:rPr>
          <w:rFonts w:hint="eastAsia"/>
        </w:rPr>
        <w:t>项目绩效目标</w:t>
      </w:r>
    </w:p>
    <w:p>
      <w:pPr>
        <w:pStyle w:val="2"/>
        <w:ind w:firstLine="562"/>
      </w:pPr>
      <w:r>
        <w:rPr>
          <w:rFonts w:hint="eastAsia"/>
        </w:rPr>
        <w:t>1.总体目标</w:t>
      </w:r>
    </w:p>
    <w:p>
      <w:pPr>
        <w:ind w:firstLine="560"/>
      </w:pPr>
      <w:r>
        <w:rPr>
          <w:rFonts w:hint="eastAsia"/>
        </w:rPr>
        <w:t>2019年我局计划对19位自治区级非物质文化遗产代表性传承人发放补助费，用于传承保护传统技艺并推动抢救保护工作，七县一市每位传承人根据自己申报的19个项目、深入挖掘整理民间传承资料19个，预计非遗传承人群增长率5%以上。</w:t>
      </w:r>
    </w:p>
    <w:p>
      <w:pPr>
        <w:pStyle w:val="2"/>
        <w:ind w:firstLine="562"/>
      </w:pPr>
      <w:r>
        <w:rPr>
          <w:rFonts w:hint="eastAsia"/>
        </w:rPr>
        <w:t>2.阶段性目标</w:t>
      </w:r>
    </w:p>
    <w:p>
      <w:pPr>
        <w:ind w:firstLine="560"/>
        <w:rPr>
          <w:rFonts w:hAnsi="Arial" w:cs="宋体"/>
          <w:bCs/>
          <w:color w:val="000000"/>
        </w:rPr>
      </w:pPr>
      <w:r>
        <w:rPr>
          <w:rFonts w:hint="eastAsia" w:hAnsi="Arial" w:cs="宋体"/>
          <w:bCs/>
          <w:color w:val="000000"/>
        </w:rPr>
        <w:t>根据</w:t>
      </w:r>
      <w:r>
        <w:rPr>
          <w:rFonts w:hint="eastAsia" w:hAnsi="Arial" w:cs="宋体"/>
          <w:bCs/>
          <w:color w:val="000000"/>
          <w:lang w:val="en-US" w:eastAsia="zh-CN"/>
        </w:rPr>
        <w:t>相关文件</w:t>
      </w:r>
      <w:r>
        <w:rPr>
          <w:rFonts w:hint="eastAsia" w:hAnsi="Arial" w:cs="宋体"/>
          <w:bCs/>
          <w:color w:val="000000"/>
        </w:rPr>
        <w:t>规定，结合项目实施单位的规章制度以及财务相关资料，评价小组对项目绩效目标进行了进一步的完善，完善后绩效目标如下：</w:t>
      </w:r>
    </w:p>
    <w:p>
      <w:pPr>
        <w:numPr>
          <w:ilvl w:val="0"/>
          <w:numId w:val="4"/>
        </w:numPr>
        <w:ind w:firstLine="560"/>
      </w:pPr>
      <w:r>
        <w:rPr>
          <w:rFonts w:hint="eastAsia"/>
        </w:rPr>
        <w:t>项目产出目标</w:t>
      </w:r>
    </w:p>
    <w:p>
      <w:pPr>
        <w:ind w:firstLine="560"/>
      </w:pPr>
      <w:r>
        <w:rPr>
          <w:rFonts w:hint="eastAsia"/>
        </w:rPr>
        <w:t>①数量指标</w:t>
      </w:r>
    </w:p>
    <w:p>
      <w:pPr>
        <w:ind w:firstLine="560"/>
      </w:pPr>
      <w:r>
        <w:rPr>
          <w:rFonts w:hint="eastAsia"/>
        </w:rPr>
        <w:t>“补助人数（人）”指标，预期指标值为≥19；</w:t>
      </w:r>
    </w:p>
    <w:p>
      <w:pPr>
        <w:ind w:firstLine="560"/>
      </w:pPr>
      <w:r>
        <w:rPr>
          <w:rFonts w:hint="eastAsia"/>
        </w:rPr>
        <w:t>“每年深入挖掘整理民间传承资料（次）”指标，预期指标值为≥4；</w:t>
      </w:r>
    </w:p>
    <w:p>
      <w:pPr>
        <w:ind w:firstLine="560"/>
      </w:pPr>
      <w:r>
        <w:rPr>
          <w:rFonts w:hint="eastAsia"/>
        </w:rPr>
        <w:t>“19位自治区级代表性传承人辅导指标，预期指标值为≥30；</w:t>
      </w:r>
    </w:p>
    <w:p>
      <w:pPr>
        <w:ind w:firstLine="560"/>
      </w:pPr>
      <w:r>
        <w:rPr>
          <w:rFonts w:hint="eastAsia"/>
        </w:rPr>
        <w:t>“自治区代表性传承人项目个数（个）”指标，预期指标值为≥19。</w:t>
      </w:r>
    </w:p>
    <w:p>
      <w:pPr>
        <w:ind w:firstLine="560"/>
      </w:pPr>
      <w:r>
        <w:rPr>
          <w:rFonts w:hint="eastAsia"/>
        </w:rPr>
        <w:t>②质量指标</w:t>
      </w:r>
    </w:p>
    <w:p>
      <w:pPr>
        <w:ind w:firstLine="560"/>
      </w:pPr>
      <w:r>
        <w:rPr>
          <w:rFonts w:hint="eastAsia"/>
        </w:rPr>
        <w:t>“每年补助19位自治区级代表性传承人资金到位率（%）”指标，预期指标值为≥100%；</w:t>
      </w:r>
    </w:p>
    <w:p>
      <w:pPr>
        <w:ind w:firstLine="560"/>
      </w:pPr>
      <w:r>
        <w:rPr>
          <w:rFonts w:hint="eastAsia"/>
        </w:rPr>
        <w:t>“19位自治区级代表性传承人辅导完成率（%）”指标，预期指标值为100%；</w:t>
      </w:r>
    </w:p>
    <w:p>
      <w:pPr>
        <w:ind w:firstLine="560"/>
      </w:pPr>
      <w:r>
        <w:rPr>
          <w:rFonts w:hint="eastAsia"/>
        </w:rPr>
        <w:t>“自治区非遗传承培训项目完成率（%）”指标，预期指标值为≥98%；</w:t>
      </w:r>
    </w:p>
    <w:p>
      <w:pPr>
        <w:ind w:firstLine="560"/>
      </w:pPr>
      <w:r>
        <w:rPr>
          <w:rFonts w:hint="eastAsia"/>
        </w:rPr>
        <w:t>“补助覆盖率（%）”指标，预期指标值为100%；</w:t>
      </w:r>
    </w:p>
    <w:p>
      <w:pPr>
        <w:ind w:firstLine="560"/>
      </w:pPr>
      <w:r>
        <w:rPr>
          <w:rFonts w:hint="eastAsia"/>
        </w:rPr>
        <w:t>“每年挖掘整理传承资料完成率（%）”指标，预期指标值为≥95%。</w:t>
      </w:r>
    </w:p>
    <w:p>
      <w:pPr>
        <w:ind w:firstLine="560"/>
      </w:pPr>
      <w:r>
        <w:rPr>
          <w:rFonts w:hint="eastAsia"/>
        </w:rPr>
        <w:t>③时效指标</w:t>
      </w:r>
    </w:p>
    <w:p>
      <w:pPr>
        <w:ind w:firstLine="560"/>
      </w:pPr>
      <w:r>
        <w:rPr>
          <w:rFonts w:hint="eastAsia"/>
        </w:rPr>
        <w:t>“补助发放及时率（%）”指标，预期指标值为100%；</w:t>
      </w:r>
    </w:p>
    <w:p>
      <w:pPr>
        <w:ind w:firstLine="560"/>
      </w:pPr>
      <w:r>
        <w:rPr>
          <w:rFonts w:hint="eastAsia"/>
        </w:rPr>
        <w:t>“自治区级非遗传承保护专项完成时间”指标，预期指标值为2019年12月31日前。</w:t>
      </w:r>
    </w:p>
    <w:p>
      <w:pPr>
        <w:ind w:firstLine="560"/>
      </w:pPr>
      <w:r>
        <w:rPr>
          <w:rFonts w:hint="eastAsia"/>
        </w:rPr>
        <w:t>④成本指标</w:t>
      </w:r>
    </w:p>
    <w:p>
      <w:pPr>
        <w:ind w:firstLine="560"/>
      </w:pPr>
      <w:r>
        <w:rPr>
          <w:rFonts w:hint="eastAsia"/>
        </w:rPr>
        <w:t>“自治区级非遗传承人补助标准（万元/人）”指标，预期指标值为≤0.48。</w:t>
      </w:r>
    </w:p>
    <w:p>
      <w:pPr>
        <w:ind w:firstLine="560"/>
      </w:pPr>
      <w:r>
        <w:rPr>
          <w:rFonts w:hint="eastAsia"/>
        </w:rPr>
        <w:t>（2）项目效益目标</w:t>
      </w:r>
    </w:p>
    <w:p>
      <w:pPr>
        <w:ind w:firstLine="560"/>
      </w:pPr>
      <w:r>
        <w:rPr>
          <w:rFonts w:hint="eastAsia"/>
        </w:rPr>
        <w:t>①经济效益指标</w:t>
      </w:r>
    </w:p>
    <w:p>
      <w:pPr>
        <w:ind w:firstLine="560"/>
      </w:pPr>
      <w:r>
        <w:rPr>
          <w:rFonts w:hint="eastAsia"/>
        </w:rPr>
        <w:t>无</w:t>
      </w:r>
    </w:p>
    <w:p>
      <w:pPr>
        <w:ind w:firstLine="560"/>
      </w:pPr>
      <w:r>
        <w:rPr>
          <w:rFonts w:hint="eastAsia"/>
        </w:rPr>
        <w:t>②社会效益指标</w:t>
      </w:r>
    </w:p>
    <w:p>
      <w:pPr>
        <w:ind w:firstLine="560"/>
      </w:pPr>
      <w:r>
        <w:rPr>
          <w:rFonts w:hint="eastAsia"/>
        </w:rPr>
        <w:t>“非遗传承人群增长率（%）”指标，预期指标值为≥5%；</w:t>
      </w:r>
    </w:p>
    <w:p>
      <w:pPr>
        <w:ind w:firstLine="560"/>
      </w:pPr>
      <w:r>
        <w:rPr>
          <w:rFonts w:hint="eastAsia"/>
        </w:rPr>
        <w:t>“非遗保护与传承受益公众增值率（%”指标，预期指标值为≥5%。</w:t>
      </w:r>
    </w:p>
    <w:p>
      <w:pPr>
        <w:ind w:firstLine="560"/>
      </w:pPr>
      <w:r>
        <w:rPr>
          <w:rFonts w:hint="eastAsia"/>
        </w:rPr>
        <w:t>③生态效益指标</w:t>
      </w:r>
    </w:p>
    <w:p>
      <w:pPr>
        <w:ind w:firstLine="560"/>
      </w:pPr>
      <w:r>
        <w:rPr>
          <w:rFonts w:hint="eastAsia"/>
        </w:rPr>
        <w:t>无</w:t>
      </w:r>
    </w:p>
    <w:p>
      <w:pPr>
        <w:ind w:firstLine="560"/>
      </w:pPr>
      <w:r>
        <w:rPr>
          <w:rFonts w:hint="eastAsia"/>
        </w:rPr>
        <w:t>④可持续影响</w:t>
      </w:r>
    </w:p>
    <w:p>
      <w:pPr>
        <w:ind w:firstLine="560"/>
      </w:pPr>
      <w:r>
        <w:rPr>
          <w:rFonts w:hint="eastAsia"/>
        </w:rPr>
        <w:t>“促进非遗传承”指标，预期指标值为长期。</w:t>
      </w:r>
    </w:p>
    <w:p>
      <w:pPr>
        <w:ind w:firstLine="560"/>
      </w:pPr>
      <w:r>
        <w:rPr>
          <w:rFonts w:hint="eastAsia"/>
        </w:rPr>
        <w:t>（3）相关满意度目标</w:t>
      </w:r>
    </w:p>
    <w:p>
      <w:pPr>
        <w:ind w:firstLine="560"/>
      </w:pPr>
      <w:r>
        <w:rPr>
          <w:rFonts w:hint="eastAsia"/>
        </w:rPr>
        <w:t>①满意度指标</w:t>
      </w:r>
    </w:p>
    <w:p>
      <w:pPr>
        <w:ind w:firstLine="560"/>
      </w:pPr>
      <w:r>
        <w:rPr>
          <w:rFonts w:hint="eastAsia"/>
        </w:rPr>
        <w:t>“非遗传承人满意率（%）”指标，预期指标值为≥90%；</w:t>
      </w:r>
    </w:p>
    <w:p>
      <w:pPr>
        <w:ind w:firstLine="560"/>
      </w:pPr>
      <w:r>
        <w:rPr>
          <w:rFonts w:hint="eastAsia"/>
        </w:rPr>
        <w:t>“非遗保护与传承活动公益公众满意率（%）”指标，预期指标值为≥90%。</w:t>
      </w:r>
    </w:p>
    <w:p>
      <w:pPr>
        <w:pStyle w:val="3"/>
        <w:ind w:firstLine="640"/>
      </w:pPr>
      <w:r>
        <w:rPr>
          <w:rFonts w:hint="eastAsia"/>
        </w:rPr>
        <w:t>二、绩效评价工作开展情况</w:t>
      </w:r>
    </w:p>
    <w:p>
      <w:pPr>
        <w:pStyle w:val="4"/>
        <w:numPr>
          <w:ilvl w:val="0"/>
          <w:numId w:val="5"/>
        </w:numPr>
        <w:ind w:firstLine="643"/>
        <w:rPr>
          <w:rFonts w:ascii="楷体" w:hAnsi="楷体" w:cs="楷体"/>
          <w:szCs w:val="32"/>
        </w:rPr>
      </w:pPr>
      <w:bookmarkStart w:id="0" w:name="_Toc26632"/>
      <w:bookmarkStart w:id="1" w:name="_Toc5462343"/>
      <w:bookmarkStart w:id="2" w:name="_Toc12868"/>
      <w:bookmarkStart w:id="3" w:name="_Toc5258"/>
      <w:bookmarkStart w:id="4" w:name="_Toc22169_WPSOffice_Level2"/>
      <w:bookmarkStart w:id="5" w:name="_Toc480473081"/>
      <w:bookmarkStart w:id="6" w:name="_Toc22922"/>
      <w:bookmarkStart w:id="7" w:name="_Toc21664"/>
      <w:r>
        <w:rPr>
          <w:rFonts w:hint="eastAsia" w:ascii="楷体" w:hAnsi="楷体" w:cs="楷体"/>
          <w:szCs w:val="32"/>
        </w:rPr>
        <w:t>绩效评价的目的</w:t>
      </w:r>
      <w:bookmarkEnd w:id="0"/>
      <w:bookmarkEnd w:id="1"/>
      <w:bookmarkEnd w:id="2"/>
      <w:bookmarkEnd w:id="3"/>
      <w:bookmarkEnd w:id="4"/>
      <w:bookmarkEnd w:id="5"/>
      <w:bookmarkEnd w:id="6"/>
      <w:bookmarkEnd w:id="7"/>
      <w:r>
        <w:rPr>
          <w:rFonts w:hint="eastAsia" w:ascii="楷体" w:hAnsi="楷体" w:cs="楷体"/>
          <w:szCs w:val="32"/>
        </w:rPr>
        <w:t>、对象和范围</w:t>
      </w:r>
    </w:p>
    <w:p>
      <w:pPr>
        <w:pStyle w:val="2"/>
        <w:ind w:firstLine="562"/>
      </w:pPr>
      <w:r>
        <w:rPr>
          <w:rFonts w:hint="eastAsia"/>
        </w:rPr>
        <w:t>1.</w:t>
      </w:r>
      <w:r>
        <w:rPr>
          <w:rFonts w:hint="eastAsia" w:ascii="楷体" w:hAnsi="楷体" w:eastAsia="楷体" w:cs="楷体"/>
          <w:sz w:val="32"/>
        </w:rPr>
        <w:t>绩效评价的目的</w:t>
      </w:r>
    </w:p>
    <w:p>
      <w:pPr>
        <w:spacing w:line="600" w:lineRule="exact"/>
        <w:ind w:firstLine="560"/>
      </w:pPr>
      <w:r>
        <w:rPr>
          <w:rFonts w:hint="eastAsia"/>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2"/>
        <w:ind w:firstLine="562"/>
      </w:pPr>
      <w:r>
        <w:rPr>
          <w:rFonts w:hint="eastAsia"/>
        </w:rPr>
        <w:t>2.绩效评价的对象和范围</w:t>
      </w:r>
    </w:p>
    <w:p>
      <w:pPr>
        <w:ind w:firstLine="560"/>
      </w:pPr>
      <w:r>
        <w:rPr>
          <w:rFonts w:hint="eastAsia"/>
        </w:rPr>
        <w:t>此次我单位根据《财政支出绩效评价管理暂行办法》（财预〔2020〕10号）文件要求对非物质文化遗产保护经费项目开展部门绩效评价，本次绩效评价主要围绕项目</w:t>
      </w:r>
      <w:r>
        <w:t>资金使用情况、财务管理状况和资产配置、使用、处置及其收益管理情况</w:t>
      </w:r>
      <w:r>
        <w:rPr>
          <w:rFonts w:hint="eastAsia"/>
        </w:rPr>
        <w:t>；项目管理</w:t>
      </w:r>
      <w:r>
        <w:t>相关制度</w:t>
      </w:r>
      <w:r>
        <w:rPr>
          <w:rFonts w:hint="eastAsia"/>
        </w:rPr>
        <w:t>及</w:t>
      </w:r>
      <w:r>
        <w:t>措施</w:t>
      </w:r>
      <w:r>
        <w:rPr>
          <w:rFonts w:hint="eastAsia"/>
        </w:rPr>
        <w:t>是否被认真执行</w:t>
      </w:r>
      <w:r>
        <w:t>；绩效目标的实现程度，包括是否达到预定产出和效果等</w:t>
      </w:r>
      <w:r>
        <w:rPr>
          <w:rFonts w:hint="eastAsia"/>
        </w:rPr>
        <w:t>方面进行部门绩效评价。</w:t>
      </w:r>
    </w:p>
    <w:p>
      <w:pPr>
        <w:pStyle w:val="4"/>
        <w:numPr>
          <w:ilvl w:val="0"/>
          <w:numId w:val="5"/>
        </w:numPr>
        <w:ind w:firstLine="643"/>
      </w:pPr>
      <w:r>
        <w:rPr>
          <w:rFonts w:hint="eastAsia"/>
        </w:rPr>
        <w:t>评价工作简述</w:t>
      </w:r>
    </w:p>
    <w:p>
      <w:pPr>
        <w:pStyle w:val="2"/>
        <w:ind w:firstLine="562"/>
      </w:pPr>
      <w:r>
        <w:rPr>
          <w:rFonts w:hint="eastAsia"/>
        </w:rPr>
        <w:t>1.绩效评价原则</w:t>
      </w:r>
    </w:p>
    <w:p>
      <w:pPr>
        <w:spacing w:line="600" w:lineRule="exact"/>
        <w:ind w:firstLine="560"/>
      </w:pPr>
      <w:r>
        <w:rPr>
          <w:rFonts w:hint="eastAsia"/>
        </w:rPr>
        <w:t>依据</w:t>
      </w:r>
      <w:r>
        <w:rPr>
          <w:rFonts w:hint="eastAsia"/>
          <w:lang w:eastAsia="zh-CN"/>
        </w:rPr>
        <w:t>相关文件</w:t>
      </w:r>
      <w:r>
        <w:rPr>
          <w:rFonts w:hint="eastAsia"/>
        </w:rPr>
        <w:t>原则，按照从投入、过程到产出效果和影响的绩效逻辑路径，结合自治区非物质文化遗产保护资金项目实际开展情况，运用定量和定性分析相结合的方法，总结经验做法，反思项目实施和管理中的问题，以切实提升财政资金管理的科学化、规范化和精细化水平。</w:t>
      </w:r>
    </w:p>
    <w:p>
      <w:pPr>
        <w:spacing w:line="600" w:lineRule="exact"/>
        <w:ind w:firstLine="560"/>
      </w:pPr>
      <w:r>
        <w:rPr>
          <w:rFonts w:hint="eastAsia"/>
        </w:rPr>
        <w:t>根据以上原则，绩效评价应遵循如下要求：</w:t>
      </w:r>
    </w:p>
    <w:p>
      <w:pPr>
        <w:spacing w:line="600" w:lineRule="exact"/>
        <w:ind w:firstLine="560"/>
      </w:pPr>
      <w:r>
        <w:rPr>
          <w:rFonts w:hint="eastAsia"/>
        </w:rPr>
        <w:t>（1）在数据采集时，采取客观数据，主管部门审查、社会中介组织复查，与问卷调查相结合的形式，以保证各项指标的真实性。</w:t>
      </w:r>
    </w:p>
    <w:p>
      <w:pPr>
        <w:spacing w:line="600" w:lineRule="exact"/>
        <w:ind w:firstLine="560"/>
      </w:pPr>
      <w:r>
        <w:rPr>
          <w:rFonts w:hint="eastAsia"/>
        </w:rPr>
        <w:t>（2）保证评价结果的真实性、公正性，提高评价报告的公信力。</w:t>
      </w:r>
    </w:p>
    <w:p>
      <w:pPr>
        <w:spacing w:line="600" w:lineRule="exact"/>
        <w:ind w:firstLine="560"/>
      </w:pPr>
      <w:r>
        <w:rPr>
          <w:rFonts w:hint="eastAsia"/>
        </w:rPr>
        <w:t>（3）绩效评价报告应当简明扼要，除了对绩效评价的过程、结果描述外，还应总结经验，指出问题，并就共性问题提出可操作性改进建议。</w:t>
      </w:r>
    </w:p>
    <w:p>
      <w:pPr>
        <w:pStyle w:val="2"/>
        <w:ind w:firstLine="562"/>
      </w:pPr>
      <w:bookmarkStart w:id="8" w:name="_Toc428278230"/>
      <w:bookmarkStart w:id="9" w:name="_Toc419984722"/>
      <w:bookmarkStart w:id="10" w:name="_Toc26131"/>
      <w:bookmarkStart w:id="11" w:name="_Toc1913"/>
      <w:r>
        <w:rPr>
          <w:rFonts w:hint="eastAsia"/>
        </w:rPr>
        <w:t>2.绩效评价指标体系</w:t>
      </w:r>
      <w:bookmarkEnd w:id="8"/>
      <w:bookmarkEnd w:id="9"/>
      <w:bookmarkEnd w:id="10"/>
      <w:bookmarkEnd w:id="11"/>
    </w:p>
    <w:p>
      <w:pPr>
        <w:spacing w:line="600" w:lineRule="exact"/>
        <w:ind w:firstLine="560"/>
        <w:rPr>
          <w:rFonts w:hint="eastAsia"/>
          <w:lang w:val="zh-TW" w:eastAsia="zh-CN"/>
        </w:rPr>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资料研读及前期调研，结合项目的实际开展情况，将项目的指标体系进行了调整和完善</w:t>
      </w:r>
      <w:r>
        <w:rPr>
          <w:rFonts w:hint="eastAsia"/>
          <w:lang w:val="zh-TW"/>
        </w:rPr>
        <w:t>，</w:t>
      </w:r>
      <w:r>
        <w:rPr>
          <w:rFonts w:hint="eastAsia"/>
          <w:lang w:val="zh-TW" w:eastAsia="zh-TW"/>
        </w:rPr>
        <w:t>最终形成了项目绩效评价指标体系</w:t>
      </w:r>
      <w:r>
        <w:rPr>
          <w:rFonts w:hint="eastAsia"/>
          <w:lang w:val="zh-TW" w:eastAsia="zh-CN"/>
        </w:rPr>
        <w:t>。</w:t>
      </w:r>
    </w:p>
    <w:p>
      <w:pPr>
        <w:pStyle w:val="2"/>
        <w:ind w:firstLine="562"/>
      </w:pPr>
      <w:r>
        <w:rPr>
          <w:rFonts w:hint="eastAsia"/>
        </w:rPr>
        <w:t>3.评价方法</w:t>
      </w:r>
    </w:p>
    <w:p>
      <w:pPr>
        <w:ind w:firstLine="560"/>
      </w:pPr>
      <w:r>
        <w:rPr>
          <w:rFonts w:hint="eastAsia"/>
        </w:rPr>
        <w:t>本次绩效评价采用的方法比较法、公众评判法对项目绩效目标预期指标值与实施情况进行比较，以及采取公众问卷及抽样调查等方式进行评判的方法对该项目进行评价。</w:t>
      </w:r>
    </w:p>
    <w:p>
      <w:pPr>
        <w:pStyle w:val="2"/>
        <w:ind w:firstLine="562"/>
        <w:rPr>
          <w:rFonts w:ascii="Times New Roman" w:hAnsi="Times New Roman"/>
          <w:b w:val="0"/>
          <w:bCs w:val="0"/>
          <w:kern w:val="2"/>
          <w:szCs w:val="24"/>
        </w:rPr>
      </w:pPr>
      <w:r>
        <w:rPr>
          <w:rFonts w:hint="eastAsia"/>
        </w:rPr>
        <w:t>4.评价标准</w:t>
      </w:r>
    </w:p>
    <w:p>
      <w:pPr>
        <w:ind w:firstLine="560"/>
      </w:pPr>
      <w:r>
        <w:rPr>
          <w:rFonts w:hint="eastAsia"/>
        </w:rPr>
        <w:t>本次绩效评价采用的标准计划标准、行业标准、历史标准对绩效指标完成情况进行对比。</w:t>
      </w:r>
    </w:p>
    <w:p>
      <w:pPr>
        <w:pStyle w:val="4"/>
        <w:numPr>
          <w:ilvl w:val="0"/>
          <w:numId w:val="5"/>
        </w:numPr>
        <w:ind w:firstLine="643"/>
      </w:pPr>
      <w:r>
        <w:rPr>
          <w:rFonts w:hint="eastAsia"/>
        </w:rPr>
        <w:t>绩效评价工作过程</w:t>
      </w:r>
    </w:p>
    <w:p>
      <w:pPr>
        <w:ind w:firstLine="560"/>
      </w:pPr>
      <w:r>
        <w:rPr>
          <w:rFonts w:hint="eastAsia"/>
        </w:rPr>
        <w:t>本次评价成立了评价工作组本次评价设计了评价方案、评价指标体系，通过资料分析、调研、访谈满意度调查等方式形成评价结论，确定评价意见，并出具评价报告。</w:t>
      </w:r>
    </w:p>
    <w:p>
      <w:pPr>
        <w:pStyle w:val="3"/>
        <w:numPr>
          <w:ilvl w:val="0"/>
          <w:numId w:val="6"/>
        </w:numPr>
        <w:ind w:firstLine="640"/>
      </w:pPr>
      <w:r>
        <w:rPr>
          <w:rFonts w:hint="eastAsia"/>
        </w:rPr>
        <w:t>综合评价情况及评价结论</w:t>
      </w:r>
    </w:p>
    <w:p>
      <w:pPr>
        <w:ind w:firstLine="560"/>
      </w:pPr>
      <w:r>
        <w:rPr>
          <w:rFonts w:hint="eastAsia"/>
        </w:rPr>
        <w:t>此次绩效评价通过组论证的评价指标体系及评分标准，采用的方法比较法、公众评判法，对非物质文化遗产保护经费项目绩效进行客观评价，最终评分结果：总分为98.5分，绩效评级为“优”。各部分权重和绩效汇总分值如下表所示：</w:t>
      </w:r>
    </w:p>
    <w:tbl>
      <w:tblPr>
        <w:tblStyle w:val="13"/>
        <w:tblW w:w="8289" w:type="dxa"/>
        <w:jc w:val="center"/>
        <w:tblInd w:w="0" w:type="dxa"/>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表3-1：非物质文化遗产保护经费项目得分表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sz w:val="24"/>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sz w:val="24"/>
              </w:rPr>
              <w:t>28.5</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sz w:val="24"/>
              </w:rPr>
              <w:t>98.5</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95.0%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98.5%</w:t>
            </w:r>
          </w:p>
        </w:tc>
      </w:tr>
    </w:tbl>
    <w:p>
      <w:pPr>
        <w:pStyle w:val="3"/>
        <w:ind w:firstLine="640"/>
      </w:pPr>
      <w:r>
        <w:rPr>
          <w:rFonts w:hint="eastAsia"/>
        </w:rPr>
        <w:t>四、绩效评价指标分析</w:t>
      </w:r>
    </w:p>
    <w:p>
      <w:pPr>
        <w:pStyle w:val="4"/>
        <w:ind w:firstLine="643"/>
      </w:pPr>
      <w:r>
        <w:rPr>
          <w:rFonts w:hint="eastAsia"/>
        </w:rPr>
        <w:t>（一）项目决策情况</w:t>
      </w:r>
    </w:p>
    <w:p>
      <w:pPr>
        <w:ind w:firstLine="560"/>
      </w:pPr>
      <w:r>
        <w:rPr>
          <w:rFonts w:hint="eastAsia"/>
        </w:rPr>
        <w:t>项目决策由3个二级指标和6个三级指标构成，权重分20分，实际得分20分，</w:t>
      </w:r>
      <w:r>
        <w:rPr>
          <w:rFonts w:hint="eastAsia"/>
          <w:color w:val="000000"/>
          <w:u w:color="000000"/>
          <w:lang w:val="zh-TW" w:eastAsia="zh-TW"/>
        </w:rPr>
        <w:t>各指标业绩值和绩效分值如表</w:t>
      </w:r>
      <w:r>
        <w:rPr>
          <w:rFonts w:hint="eastAsia"/>
          <w:color w:val="000000"/>
          <w:u w:color="000000"/>
        </w:rPr>
        <w:t>4</w:t>
      </w:r>
      <w:r>
        <w:rPr>
          <w:color w:val="000000"/>
          <w:u w:color="000000"/>
        </w:rPr>
        <w:t>-1</w:t>
      </w:r>
      <w:r>
        <w:rPr>
          <w:rFonts w:hint="eastAsia"/>
          <w:color w:val="000000"/>
          <w:u w:color="000000"/>
          <w:lang w:val="zh-TW" w:eastAsia="zh-TW"/>
        </w:rPr>
        <w:t>所示</w:t>
      </w:r>
      <w:r>
        <w:rPr>
          <w:rFonts w:hint="eastAsia"/>
        </w:rPr>
        <w:t>：</w:t>
      </w:r>
    </w:p>
    <w:p>
      <w:pPr>
        <w:keepNext/>
        <w:keepLines/>
        <w:ind w:firstLine="562"/>
        <w:jc w:val="center"/>
      </w:pPr>
      <w:r>
        <w:rPr>
          <w:rFonts w:hint="eastAsia"/>
          <w:b/>
          <w:bCs/>
          <w:color w:val="000000"/>
          <w:u w:color="000000"/>
          <w:lang w:val="zh-TW" w:eastAsia="zh-TW"/>
        </w:rPr>
        <w:t>表</w:t>
      </w:r>
      <w:r>
        <w:rPr>
          <w:rFonts w:hint="eastAsia"/>
          <w:b/>
          <w:bCs/>
          <w:color w:val="000000"/>
          <w:u w:color="000000"/>
        </w:rPr>
        <w:t>4</w:t>
      </w:r>
      <w:r>
        <w:rPr>
          <w:b/>
          <w:bCs/>
          <w:color w:val="000000"/>
          <w:u w:color="000000"/>
        </w:rPr>
        <w:t>-1</w:t>
      </w:r>
      <w:r>
        <w:rPr>
          <w:rFonts w:hint="eastAsia"/>
          <w:b/>
          <w:bCs/>
          <w:color w:val="000000"/>
          <w:u w:color="000000"/>
          <w:lang w:val="zh-TW" w:eastAsia="zh-TW"/>
        </w:rPr>
        <w:t>项目决策指标及分值</w:t>
      </w:r>
    </w:p>
    <w:tbl>
      <w:tblPr>
        <w:tblStyle w:val="13"/>
        <w:tblW w:w="8447" w:type="dxa"/>
        <w:jc w:val="center"/>
        <w:tblInd w:w="0" w:type="dxa"/>
        <w:tblLayout w:type="fixed"/>
        <w:tblCellMar>
          <w:top w:w="0" w:type="dxa"/>
          <w:left w:w="0" w:type="dxa"/>
          <w:bottom w:w="0" w:type="dxa"/>
          <w:right w:w="0" w:type="dxa"/>
        </w:tblCellMar>
      </w:tblPr>
      <w:tblGrid>
        <w:gridCol w:w="1077"/>
        <w:gridCol w:w="960"/>
        <w:gridCol w:w="1251"/>
        <w:gridCol w:w="794"/>
        <w:gridCol w:w="1871"/>
        <w:gridCol w:w="1417"/>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项目立项　</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Layout w:type="fixed"/>
          <w:tblCellMar>
            <w:top w:w="0" w:type="dxa"/>
            <w:left w:w="0" w:type="dxa"/>
            <w:bottom w:w="0" w:type="dxa"/>
            <w:right w:w="0" w:type="dxa"/>
          </w:tblCellMar>
        </w:tblPrEx>
        <w:trPr>
          <w:trHeight w:val="334" w:hRule="atLeast"/>
          <w:tblHeader/>
          <w:jc w:val="center"/>
        </w:trPr>
        <w:tc>
          <w:tcPr>
            <w:tcW w:w="32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r>
    </w:tbl>
    <w:p>
      <w:pPr>
        <w:pStyle w:val="4"/>
        <w:ind w:firstLine="643"/>
      </w:pPr>
      <w:r>
        <w:rPr>
          <w:rFonts w:hint="eastAsia"/>
        </w:rPr>
        <w:t>（二）项目过程情况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过程</w:t>
      </w:r>
      <w:r>
        <w:rPr>
          <w:rFonts w:hint="eastAsia"/>
          <w:color w:val="000000"/>
          <w:u w:color="000000"/>
        </w:rPr>
        <w:t>管理</w:t>
      </w:r>
      <w:r>
        <w:rPr>
          <w:rFonts w:hint="eastAsia"/>
          <w:color w:val="000000"/>
          <w:u w:color="000000"/>
          <w:lang w:val="zh-TW" w:eastAsia="zh-TW"/>
        </w:rPr>
        <w:t>类指标由</w:t>
      </w:r>
      <w:r>
        <w:rPr>
          <w:rFonts w:hint="eastAsia"/>
          <w:color w:val="000000"/>
          <w:u w:color="000000"/>
        </w:rPr>
        <w:t>2</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5</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20</w:t>
      </w:r>
      <w:r>
        <w:rPr>
          <w:rFonts w:hint="eastAsia"/>
          <w:color w:val="000000"/>
          <w:u w:color="000000"/>
          <w:lang w:val="zh-TW" w:eastAsia="zh-TW"/>
        </w:rPr>
        <w:t>分，实际得分</w:t>
      </w:r>
      <w:r>
        <w:rPr>
          <w:rFonts w:hint="eastAsia"/>
          <w:color w:val="000000"/>
          <w:u w:color="000000"/>
        </w:rPr>
        <w:t>20</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rFonts w:hint="eastAsia"/>
          <w:color w:val="000000"/>
          <w:u w:color="000000"/>
        </w:rPr>
        <w:t>4</w:t>
      </w:r>
      <w:r>
        <w:rPr>
          <w:color w:val="000000"/>
          <w:u w:color="000000"/>
        </w:rPr>
        <w:t>-</w:t>
      </w:r>
      <w:r>
        <w:rPr>
          <w:rFonts w:hint="eastAsia"/>
          <w:color w:val="000000"/>
          <w:u w:color="000000"/>
        </w:rPr>
        <w:t>2</w:t>
      </w:r>
      <w:r>
        <w:rPr>
          <w:rFonts w:hint="eastAsia"/>
          <w:color w:val="000000"/>
          <w:u w:color="000000"/>
          <w:lang w:val="zh-TW" w:eastAsia="zh-TW"/>
        </w:rPr>
        <w:t>所示：</w:t>
      </w:r>
    </w:p>
    <w:p>
      <w:pPr>
        <w:ind w:firstLine="562"/>
        <w:jc w:val="center"/>
        <w:rPr>
          <w:b/>
          <w:bCs/>
          <w:color w:val="000000"/>
          <w:u w:color="000000"/>
        </w:rPr>
      </w:pPr>
      <w:r>
        <w:rPr>
          <w:rFonts w:hint="eastAsia"/>
          <w:b/>
          <w:bCs/>
          <w:color w:val="000000"/>
          <w:u w:color="000000"/>
          <w:lang w:val="zh-TW" w:eastAsia="zh-TW"/>
        </w:rPr>
        <w:t>表</w:t>
      </w:r>
      <w:r>
        <w:rPr>
          <w:rFonts w:hint="eastAsia"/>
          <w:b/>
          <w:bCs/>
          <w:color w:val="000000"/>
          <w:u w:color="000000"/>
        </w:rPr>
        <w:t>4</w:t>
      </w:r>
      <w:r>
        <w:rPr>
          <w:b/>
          <w:bCs/>
          <w:color w:val="000000"/>
          <w:u w:color="000000"/>
        </w:rPr>
        <w:t>-</w:t>
      </w:r>
      <w:r>
        <w:rPr>
          <w:rFonts w:hint="eastAsia"/>
          <w:b/>
          <w:bCs/>
          <w:color w:val="000000"/>
          <w:u w:color="000000"/>
        </w:rPr>
        <w:t>2</w:t>
      </w:r>
      <w:r>
        <w:rPr>
          <w:rFonts w:hint="eastAsia"/>
          <w:b/>
          <w:bCs/>
          <w:color w:val="000000"/>
          <w:u w:color="000000"/>
          <w:lang w:val="zh-TW" w:eastAsia="zh-TW"/>
        </w:rPr>
        <w:t>项目</w:t>
      </w:r>
      <w:r>
        <w:rPr>
          <w:rFonts w:hint="eastAsia"/>
          <w:b/>
          <w:bCs/>
          <w:color w:val="000000"/>
          <w:u w:color="000000"/>
          <w:lang w:val="zh-TW"/>
        </w:rPr>
        <w:t>管理</w:t>
      </w:r>
      <w:r>
        <w:rPr>
          <w:rFonts w:hint="eastAsia"/>
          <w:b/>
          <w:bCs/>
          <w:color w:val="000000"/>
          <w:u w:color="000000"/>
          <w:lang w:val="zh-TW" w:eastAsia="zh-TW"/>
        </w:rPr>
        <w:t>指标及分值</w:t>
      </w:r>
      <w:r>
        <w:rPr>
          <w:rFonts w:hint="eastAsia"/>
          <w:b/>
          <w:bCs/>
          <w:color w:val="000000"/>
          <w:u w:color="000000"/>
        </w:rPr>
        <w:t>情况</w:t>
      </w:r>
    </w:p>
    <w:tbl>
      <w:tblPr>
        <w:tblStyle w:val="13"/>
        <w:tblW w:w="8317" w:type="dxa"/>
        <w:jc w:val="center"/>
        <w:tblInd w:w="0" w:type="dxa"/>
        <w:tblLayout w:type="fixed"/>
        <w:tblCellMar>
          <w:top w:w="0" w:type="dxa"/>
          <w:left w:w="0" w:type="dxa"/>
          <w:bottom w:w="0" w:type="dxa"/>
          <w:right w:w="0" w:type="dxa"/>
        </w:tblCellMar>
      </w:tblPr>
      <w:tblGrid>
        <w:gridCol w:w="1182"/>
        <w:gridCol w:w="738"/>
        <w:gridCol w:w="1248"/>
        <w:gridCol w:w="1176"/>
        <w:gridCol w:w="1644"/>
        <w:gridCol w:w="1176"/>
        <w:gridCol w:w="1153"/>
      </w:tblGrid>
      <w:tr>
        <w:tblPrEx>
          <w:tblLayout w:type="fixed"/>
          <w:tblCellMar>
            <w:top w:w="0" w:type="dxa"/>
            <w:left w:w="0" w:type="dxa"/>
            <w:bottom w:w="0" w:type="dxa"/>
            <w:right w:w="0" w:type="dxa"/>
          </w:tblCellMar>
        </w:tblPrEx>
        <w:trPr>
          <w:trHeight w:val="23"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12</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资金到位率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预算执行率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资金使用合规性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8</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管理制度健全性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制度执行有效性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r>
    </w:tbl>
    <w:p>
      <w:pPr>
        <w:pStyle w:val="4"/>
        <w:numPr>
          <w:ilvl w:val="0"/>
          <w:numId w:val="5"/>
        </w:numPr>
        <w:ind w:firstLine="643"/>
      </w:pPr>
      <w:r>
        <w:rPr>
          <w:rFonts w:hint="eastAsia"/>
        </w:rPr>
        <w:t>项目产出情况</w:t>
      </w:r>
    </w:p>
    <w:p>
      <w:pPr>
        <w:pStyle w:val="4"/>
        <w:numPr>
          <w:ilvl w:val="0"/>
          <w:numId w:val="5"/>
        </w:numPr>
        <w:ind w:firstLine="643"/>
      </w:pPr>
      <w:r>
        <w:rPr>
          <w:rFonts w:hint="eastAsia"/>
          <w:color w:val="000000"/>
          <w:u w:color="000000"/>
          <w:lang w:val="zh-TW" w:eastAsia="zh-TW"/>
        </w:rPr>
        <w:t>项目</w:t>
      </w:r>
      <w:r>
        <w:rPr>
          <w:rFonts w:hint="eastAsia" w:ascii="仿宋_GB2312"/>
        </w:rPr>
        <w:t>产出</w:t>
      </w:r>
      <w:r>
        <w:rPr>
          <w:rFonts w:hint="eastAsia"/>
          <w:color w:val="000000"/>
          <w:u w:color="000000"/>
          <w:lang w:val="zh-TW" w:eastAsia="zh-TW"/>
        </w:rPr>
        <w:t>类指标由</w:t>
      </w:r>
      <w:r>
        <w:rPr>
          <w:rFonts w:hint="eastAsia"/>
          <w:color w:val="000000"/>
          <w:u w:color="000000"/>
        </w:rPr>
        <w:t>4</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12</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30</w:t>
      </w:r>
      <w:r>
        <w:rPr>
          <w:rFonts w:hint="eastAsia"/>
          <w:color w:val="000000"/>
          <w:u w:color="000000"/>
          <w:lang w:val="zh-TW" w:eastAsia="zh-TW"/>
        </w:rPr>
        <w:t>分，实际得分</w:t>
      </w:r>
      <w:r>
        <w:rPr>
          <w:rFonts w:hint="eastAsia"/>
          <w:color w:val="000000"/>
          <w:u w:color="000000"/>
        </w:rPr>
        <w:t>30</w:t>
      </w:r>
      <w:r>
        <w:rPr>
          <w:rFonts w:hint="eastAsia"/>
          <w:color w:val="000000"/>
          <w:u w:color="000000"/>
          <w:lang w:val="zh-TW" w:eastAsia="zh-TW"/>
        </w:rPr>
        <w:t>分</w:t>
      </w:r>
      <w:r>
        <w:rPr>
          <w:rFonts w:hint="eastAsia"/>
          <w:color w:val="000000"/>
          <w:u w:color="000000"/>
          <w:lang w:val="zh-TW"/>
        </w:rPr>
        <w:t>，</w:t>
      </w:r>
      <w:r>
        <w:rPr>
          <w:rFonts w:hint="eastAsia"/>
        </w:rPr>
        <w:t>项目效益情况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产出</w:t>
      </w:r>
      <w:r>
        <w:rPr>
          <w:rFonts w:hint="eastAsia"/>
          <w:color w:val="000000"/>
          <w:u w:color="000000"/>
          <w:lang w:val="zh-TW" w:eastAsia="zh-TW"/>
        </w:rPr>
        <w:t>类指标由</w:t>
      </w:r>
      <w:r>
        <w:rPr>
          <w:rFonts w:hint="eastAsia"/>
          <w:color w:val="000000"/>
          <w:u w:color="000000"/>
          <w:lang w:val="zh-TW"/>
        </w:rPr>
        <w:t>3</w:t>
      </w:r>
      <w:r>
        <w:rPr>
          <w:rFonts w:hint="eastAsia"/>
          <w:color w:val="000000"/>
          <w:u w:color="000000"/>
          <w:lang w:val="zh-TW" w:eastAsia="zh-TW"/>
        </w:rPr>
        <w:t>个二级指标和</w:t>
      </w:r>
      <w:r>
        <w:rPr>
          <w:rFonts w:hint="eastAsia"/>
          <w:color w:val="000000"/>
          <w:u w:color="000000"/>
        </w:rPr>
        <w:t>5</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30</w:t>
      </w:r>
      <w:r>
        <w:rPr>
          <w:rFonts w:hint="eastAsia"/>
          <w:color w:val="000000"/>
          <w:u w:color="000000"/>
          <w:lang w:val="zh-TW" w:eastAsia="zh-TW"/>
        </w:rPr>
        <w:t>分，实际得分</w:t>
      </w:r>
      <w:r>
        <w:rPr>
          <w:rFonts w:hint="eastAsia"/>
          <w:color w:val="000000"/>
          <w:u w:color="000000"/>
        </w:rPr>
        <w:t>28.5</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rFonts w:hint="eastAsia"/>
          <w:color w:val="000000"/>
          <w:u w:color="000000"/>
        </w:rPr>
        <w:t>4</w:t>
      </w:r>
      <w:r>
        <w:rPr>
          <w:color w:val="000000"/>
          <w:u w:color="000000"/>
        </w:rPr>
        <w:t>-</w:t>
      </w:r>
      <w:r>
        <w:rPr>
          <w:rFonts w:hint="eastAsia"/>
          <w:color w:val="000000"/>
          <w:u w:color="000000"/>
        </w:rPr>
        <w:t>3</w:t>
      </w:r>
      <w:r>
        <w:rPr>
          <w:rFonts w:hint="eastAsia"/>
          <w:color w:val="000000"/>
          <w:u w:color="000000"/>
          <w:lang w:val="zh-TW" w:eastAsia="zh-TW"/>
        </w:rPr>
        <w:t>所示：</w:t>
      </w:r>
    </w:p>
    <w:p>
      <w:pPr>
        <w:keepNext/>
        <w:keepLines/>
        <w:ind w:firstLine="562"/>
        <w:jc w:val="center"/>
      </w:pPr>
      <w:r>
        <w:rPr>
          <w:rFonts w:hint="eastAsia" w:ascii="仿宋_GB2312" w:hAnsi="仿宋_GB2312" w:cs="仿宋_GB2312"/>
          <w:b/>
          <w:bCs/>
          <w:color w:val="000000"/>
          <w:u w:color="000000"/>
          <w:lang w:val="zh-TW" w:eastAsia="zh-TW"/>
        </w:rPr>
        <w:t>表</w:t>
      </w:r>
      <w:r>
        <w:rPr>
          <w:rFonts w:hint="eastAsia" w:ascii="仿宋_GB2312" w:hAnsi="仿宋_GB2312" w:cs="仿宋_GB2312"/>
          <w:b/>
          <w:bCs/>
          <w:color w:val="000000"/>
          <w:u w:color="000000"/>
        </w:rPr>
        <w:t>4-4</w:t>
      </w:r>
      <w:r>
        <w:rPr>
          <w:rFonts w:hint="eastAsia" w:ascii="仿宋_GB2312" w:hAnsi="仿宋_GB2312" w:cs="仿宋_GB2312"/>
          <w:b/>
          <w:bCs/>
        </w:rPr>
        <w:t>项目效益</w:t>
      </w:r>
      <w:r>
        <w:rPr>
          <w:rFonts w:hint="eastAsia" w:ascii="仿宋_GB2312" w:hAnsi="仿宋_GB2312" w:cs="仿宋_GB2312"/>
          <w:b/>
          <w:bCs/>
          <w:color w:val="000000"/>
          <w:u w:color="000000"/>
          <w:lang w:val="zh-TW" w:eastAsia="zh-TW"/>
        </w:rPr>
        <w:t>指标及分值</w:t>
      </w:r>
      <w:r>
        <w:rPr>
          <w:rFonts w:hint="eastAsia" w:ascii="仿宋_GB2312" w:hAnsi="仿宋_GB2312" w:cs="仿宋_GB2312"/>
          <w:b/>
          <w:bCs/>
          <w:color w:val="000000"/>
          <w:u w:color="000000"/>
        </w:rPr>
        <w:t>情况</w:t>
      </w:r>
    </w:p>
    <w:tbl>
      <w:tblPr>
        <w:tblStyle w:val="13"/>
        <w:tblW w:w="9137" w:type="dxa"/>
        <w:tblInd w:w="0" w:type="dxa"/>
        <w:tblLayout w:type="fixed"/>
        <w:tblCellMar>
          <w:top w:w="0" w:type="dxa"/>
          <w:left w:w="0" w:type="dxa"/>
          <w:bottom w:w="0" w:type="dxa"/>
          <w:right w:w="0" w:type="dxa"/>
        </w:tblCellMar>
      </w:tblPr>
      <w:tblGrid>
        <w:gridCol w:w="838"/>
        <w:gridCol w:w="1116"/>
        <w:gridCol w:w="2898"/>
        <w:gridCol w:w="1367"/>
        <w:gridCol w:w="519"/>
        <w:gridCol w:w="1133"/>
        <w:gridCol w:w="566"/>
        <w:gridCol w:w="700"/>
      </w:tblGrid>
      <w:tr>
        <w:tblPrEx>
          <w:tblLayout w:type="fixed"/>
          <w:tblCellMar>
            <w:top w:w="0" w:type="dxa"/>
            <w:left w:w="0" w:type="dxa"/>
            <w:bottom w:w="0" w:type="dxa"/>
            <w:right w:w="0" w:type="dxa"/>
          </w:tblCellMar>
        </w:tblPrEx>
        <w:trPr>
          <w:trHeight w:val="23" w:hRule="atLeast"/>
        </w:trPr>
        <w:tc>
          <w:tcPr>
            <w:tcW w:w="83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一级指标</w:t>
            </w:r>
          </w:p>
        </w:tc>
        <w:tc>
          <w:tcPr>
            <w:tcW w:w="111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二级指标</w:t>
            </w:r>
          </w:p>
        </w:tc>
        <w:tc>
          <w:tcPr>
            <w:tcW w:w="289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三级指标</w:t>
            </w:r>
          </w:p>
        </w:tc>
        <w:tc>
          <w:tcPr>
            <w:tcW w:w="13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年度指标值</w:t>
            </w:r>
          </w:p>
        </w:tc>
        <w:tc>
          <w:tcPr>
            <w:tcW w:w="5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标杆分值</w:t>
            </w:r>
          </w:p>
        </w:tc>
        <w:tc>
          <w:tcPr>
            <w:tcW w:w="11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全年实际完成值</w:t>
            </w:r>
          </w:p>
        </w:tc>
        <w:tc>
          <w:tcPr>
            <w:tcW w:w="56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指标得分</w:t>
            </w:r>
          </w:p>
        </w:tc>
        <w:tc>
          <w:tcPr>
            <w:tcW w:w="7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备注</w:t>
            </w:r>
          </w:p>
        </w:tc>
      </w:tr>
      <w:tr>
        <w:tblPrEx>
          <w:tblLayout w:type="fixed"/>
          <w:tblCellMar>
            <w:top w:w="0" w:type="dxa"/>
            <w:left w:w="0" w:type="dxa"/>
            <w:bottom w:w="0" w:type="dxa"/>
            <w:right w:w="0" w:type="dxa"/>
          </w:tblCellMar>
        </w:tblPrEx>
        <w:trPr>
          <w:trHeight w:val="23" w:hRule="atLeast"/>
        </w:trPr>
        <w:tc>
          <w:tcPr>
            <w:tcW w:w="838" w:type="dxa"/>
            <w:vMerge w:val="restart"/>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效益</w:t>
            </w: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社会效益指标</w:t>
            </w: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非遗传承人群增长率（%）</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4.8</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非遗保护与传承受益公众增值率（%）</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６</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可持续影响指标</w:t>
            </w: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促进非遗传承</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长期</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６</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95%</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5.7</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6"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满意度指标</w:t>
            </w: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非遗传承人满意率（%）</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≥90%</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６</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90%</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６</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6"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非遗保护与传承活动公益公众满意率（%）</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≥90%</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６</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90%</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６</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621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30</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28.5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bl>
    <w:p>
      <w:pPr>
        <w:pStyle w:val="3"/>
        <w:ind w:firstLine="640"/>
      </w:pPr>
      <w:r>
        <w:rPr>
          <w:rFonts w:hint="eastAsia"/>
        </w:rPr>
        <w:t>五、主要经验及做法、存在的问题及原因分析</w:t>
      </w:r>
    </w:p>
    <w:p>
      <w:pPr>
        <w:pStyle w:val="4"/>
        <w:numPr>
          <w:ilvl w:val="0"/>
          <w:numId w:val="7"/>
        </w:numPr>
        <w:ind w:firstLine="643"/>
      </w:pPr>
      <w:bookmarkStart w:id="12" w:name="_Toc1921"/>
      <w:bookmarkStart w:id="13" w:name="_Toc28290"/>
      <w:r>
        <w:rPr>
          <w:rFonts w:hint="eastAsia"/>
        </w:rPr>
        <w:t>主要经验及做法</w:t>
      </w:r>
    </w:p>
    <w:p>
      <w:pPr>
        <w:ind w:firstLine="560"/>
        <w:rPr>
          <w:color w:val="000000"/>
          <w:u w:color="000000"/>
          <w:lang w:val="zh-TW" w:eastAsia="zh-TW"/>
        </w:rPr>
      </w:pPr>
      <w:r>
        <w:rPr>
          <w:rFonts w:hint="eastAsia"/>
          <w:color w:val="000000"/>
          <w:u w:color="000000"/>
          <w:lang w:val="zh-TW" w:eastAsia="zh-TW"/>
        </w:rPr>
        <w:t>本项目对全地区19名非物质文化遗产传承人发放补助经费，用于传承保护传统技艺并推动抢救保护工作。主要采取专业指导七县一市每位传承人需根据自己申报的项目去开展培训、辅导学员，整理挖掘非物质文化遗产民间传承资料，其次每位传承人需定期不定期辅导培训学员合计不低于30次，参加非物质文化遗产民间传承活动不少于1次。</w:t>
      </w:r>
    </w:p>
    <w:bookmarkEnd w:id="12"/>
    <w:bookmarkEnd w:id="13"/>
    <w:p>
      <w:pPr>
        <w:pStyle w:val="4"/>
        <w:numPr>
          <w:ilvl w:val="0"/>
          <w:numId w:val="7"/>
        </w:numPr>
        <w:ind w:firstLine="643"/>
      </w:pPr>
      <w:r>
        <w:rPr>
          <w:rFonts w:hint="eastAsia"/>
        </w:rPr>
        <w:t>存在的问题及原因分析</w:t>
      </w:r>
    </w:p>
    <w:p>
      <w:pPr>
        <w:ind w:firstLine="560"/>
        <w:rPr>
          <w:color w:val="000000"/>
          <w:u w:color="000000"/>
          <w:lang w:val="zh-TW" w:eastAsia="zh-TW"/>
        </w:rPr>
      </w:pPr>
      <w:r>
        <w:rPr>
          <w:rFonts w:hint="eastAsia"/>
          <w:color w:val="000000"/>
          <w:u w:color="000000"/>
          <w:lang w:val="zh-TW" w:eastAsia="zh-TW"/>
        </w:rPr>
        <w:t>因非物质文化遗产保护传承项目主要在基层开展，使传承人增长率较慢。</w:t>
      </w:r>
    </w:p>
    <w:p>
      <w:pPr>
        <w:pStyle w:val="3"/>
        <w:ind w:firstLine="640"/>
      </w:pPr>
      <w:r>
        <w:rPr>
          <w:rFonts w:hint="eastAsia"/>
        </w:rPr>
        <w:t>六、有关建议</w:t>
      </w:r>
    </w:p>
    <w:p>
      <w:pPr>
        <w:ind w:firstLine="560"/>
        <w:rPr>
          <w:color w:val="000000"/>
          <w:u w:color="000000"/>
          <w:lang w:val="zh-TW" w:eastAsia="zh-TW"/>
        </w:rPr>
      </w:pPr>
      <w:r>
        <w:rPr>
          <w:rFonts w:hint="eastAsia"/>
          <w:color w:val="000000"/>
          <w:u w:color="000000"/>
          <w:lang w:val="zh-TW" w:eastAsia="zh-TW"/>
        </w:rPr>
        <w:t>建议根据传承人安排的时间，适当调整给工作，能保障学习的时间。</w:t>
      </w:r>
    </w:p>
    <w:p>
      <w:pPr>
        <w:pStyle w:val="3"/>
        <w:ind w:firstLine="640"/>
      </w:pPr>
      <w:r>
        <w:rPr>
          <w:rFonts w:hint="eastAsia"/>
        </w:rPr>
        <w:t>七、其他需要说明的问题</w:t>
      </w:r>
    </w:p>
    <w:p>
      <w:pPr>
        <w:ind w:firstLine="560"/>
        <w:rPr>
          <w:rFonts w:hint="eastAsia" w:eastAsia="仿宋_GB2312"/>
          <w:lang w:eastAsia="zh-CN"/>
        </w:rPr>
      </w:pPr>
      <w:r>
        <w:rPr>
          <w:rFonts w:hint="eastAsia"/>
        </w:rPr>
        <w:t>无其他说明内容</w:t>
      </w:r>
      <w:r>
        <w:rPr>
          <w:rFonts w:hint="eastAsia"/>
          <w:lang w:eastAsia="zh-CN"/>
        </w:rPr>
        <w:t>。</w:t>
      </w:r>
      <w:bookmarkStart w:id="14" w:name="_GoBack"/>
      <w:bookmarkEnd w:id="14"/>
    </w:p>
    <w:sectPr>
      <w:footerReference r:id="rId9" w:type="default"/>
      <w:pgSz w:w="16838" w:h="11906" w:orient="landscape"/>
      <w:pgMar w:top="1531" w:right="1928" w:bottom="1531" w:left="170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D5637710"/>
    <w:multiLevelType w:val="singleLevel"/>
    <w:tmpl w:val="D5637710"/>
    <w:lvl w:ilvl="0" w:tentative="0">
      <w:start w:val="2"/>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2"/>
  </w:num>
  <w:num w:numId="3">
    <w:abstractNumId w:val="0"/>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8291A1A"/>
    <w:rsid w:val="00171C7E"/>
    <w:rsid w:val="003F71C9"/>
    <w:rsid w:val="004055BC"/>
    <w:rsid w:val="00573F35"/>
    <w:rsid w:val="00692D24"/>
    <w:rsid w:val="0075294E"/>
    <w:rsid w:val="00951450"/>
    <w:rsid w:val="009B5A6C"/>
    <w:rsid w:val="009B5CF5"/>
    <w:rsid w:val="009E56C9"/>
    <w:rsid w:val="00A82647"/>
    <w:rsid w:val="00E321DF"/>
    <w:rsid w:val="00EF7D74"/>
    <w:rsid w:val="00F975A6"/>
    <w:rsid w:val="0956243A"/>
    <w:rsid w:val="0A561E14"/>
    <w:rsid w:val="0CE57393"/>
    <w:rsid w:val="0FF62C78"/>
    <w:rsid w:val="12F1313F"/>
    <w:rsid w:val="23E24424"/>
    <w:rsid w:val="245E1E24"/>
    <w:rsid w:val="29F91D37"/>
    <w:rsid w:val="2BD43523"/>
    <w:rsid w:val="2C103347"/>
    <w:rsid w:val="2E483E7E"/>
    <w:rsid w:val="2F123F01"/>
    <w:rsid w:val="332F7DDD"/>
    <w:rsid w:val="33944516"/>
    <w:rsid w:val="36185B49"/>
    <w:rsid w:val="3AFD1777"/>
    <w:rsid w:val="3D9834CB"/>
    <w:rsid w:val="3FCA2906"/>
    <w:rsid w:val="42FE3854"/>
    <w:rsid w:val="43C95F58"/>
    <w:rsid w:val="4F733A2D"/>
    <w:rsid w:val="4FF71540"/>
    <w:rsid w:val="50B85F3E"/>
    <w:rsid w:val="52B95FD7"/>
    <w:rsid w:val="5A1A582E"/>
    <w:rsid w:val="5D87634F"/>
    <w:rsid w:val="60937F5E"/>
    <w:rsid w:val="61EA3381"/>
    <w:rsid w:val="627868B8"/>
    <w:rsid w:val="636D1879"/>
    <w:rsid w:val="68291A1A"/>
    <w:rsid w:val="691B1594"/>
    <w:rsid w:val="6F0D6C22"/>
    <w:rsid w:val="76D2301A"/>
    <w:rsid w:val="77861774"/>
    <w:rsid w:val="782A5925"/>
    <w:rsid w:val="79300B45"/>
    <w:rsid w:val="79806AF4"/>
    <w:rsid w:val="79A17504"/>
    <w:rsid w:val="7E354538"/>
    <w:rsid w:val="7E6174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1">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19"/>
    <w:qFormat/>
    <w:uiPriority w:val="0"/>
    <w:rPr>
      <w:b/>
      <w:bCs/>
    </w:rPr>
  </w:style>
  <w:style w:type="paragraph" w:styleId="6">
    <w:name w:val="annotation text"/>
    <w:basedOn w:val="1"/>
    <w:link w:val="18"/>
    <w:qFormat/>
    <w:uiPriority w:val="0"/>
    <w:pPr>
      <w:jc w:val="left"/>
    </w:pPr>
  </w:style>
  <w:style w:type="paragraph" w:styleId="7">
    <w:name w:val="Balloon Text"/>
    <w:basedOn w:val="1"/>
    <w:link w:val="17"/>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qFormat/>
    <w:uiPriority w:val="0"/>
    <w:pPr>
      <w:spacing w:beforeAutospacing="1" w:afterAutospacing="1" w:line="240" w:lineRule="auto"/>
      <w:ind w:firstLine="0" w:firstLineChars="0"/>
      <w:jc w:val="left"/>
    </w:pPr>
    <w:rPr>
      <w:rFonts w:eastAsia="宋体"/>
      <w:kern w:val="0"/>
      <w:sz w:val="24"/>
    </w:rPr>
  </w:style>
  <w:style w:type="character" w:styleId="12">
    <w:name w:val="annotation reference"/>
    <w:basedOn w:val="11"/>
    <w:qFormat/>
    <w:uiPriority w:val="0"/>
    <w:rPr>
      <w:sz w:val="21"/>
      <w:szCs w:val="21"/>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6">
    <w:name w:val="标题2"/>
    <w:basedOn w:val="4"/>
    <w:qFormat/>
    <w:uiPriority w:val="0"/>
    <w:pPr>
      <w:numPr>
        <w:ilvl w:val="0"/>
        <w:numId w:val="1"/>
      </w:numPr>
      <w:spacing w:before="120" w:after="120" w:line="500" w:lineRule="exact"/>
    </w:pPr>
    <w:rPr>
      <w:rFonts w:ascii="仿宋_GB2312" w:eastAsia="仿宋_GB2312"/>
    </w:rPr>
  </w:style>
  <w:style w:type="character" w:customStyle="1" w:styleId="17">
    <w:name w:val="批注框文本 Char"/>
    <w:basedOn w:val="11"/>
    <w:link w:val="7"/>
    <w:qFormat/>
    <w:uiPriority w:val="0"/>
    <w:rPr>
      <w:rFonts w:eastAsia="仿宋_GB2312"/>
      <w:kern w:val="2"/>
      <w:sz w:val="18"/>
      <w:szCs w:val="18"/>
    </w:rPr>
  </w:style>
  <w:style w:type="character" w:customStyle="1" w:styleId="18">
    <w:name w:val="批注文字 Char"/>
    <w:basedOn w:val="11"/>
    <w:link w:val="6"/>
    <w:qFormat/>
    <w:uiPriority w:val="0"/>
    <w:rPr>
      <w:rFonts w:eastAsia="仿宋_GB2312"/>
      <w:kern w:val="2"/>
      <w:sz w:val="28"/>
      <w:szCs w:val="24"/>
    </w:rPr>
  </w:style>
  <w:style w:type="character" w:customStyle="1" w:styleId="19">
    <w:name w:val="批注主题 Char"/>
    <w:basedOn w:val="18"/>
    <w:link w:val="5"/>
    <w:qFormat/>
    <w:uiPriority w:val="0"/>
    <w:rPr>
      <w:rFonts w:eastAsia="仿宋_GB2312"/>
      <w:b/>
      <w:bCs/>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9DF2B6-4903-48D7-8C65-CC56E6A8F769}">
  <ds:schemaRefs/>
</ds:datastoreItem>
</file>

<file path=docProps/app.xml><?xml version="1.0" encoding="utf-8"?>
<Properties xmlns="http://schemas.openxmlformats.org/officeDocument/2006/extended-properties" xmlns:vt="http://schemas.openxmlformats.org/officeDocument/2006/docPropsVTypes">
  <Template>Normal</Template>
  <Company>电脑维修 数据恢复</Company>
  <Pages>1</Pages>
  <Words>1712</Words>
  <Characters>9764</Characters>
  <Lines>81</Lines>
  <Paragraphs>22</Paragraphs>
  <TotalTime>22</TotalTime>
  <ScaleCrop>false</ScaleCrop>
  <LinksUpToDate>false</LinksUpToDate>
  <CharactersWithSpaces>11454</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cp:lastPrinted>2020-05-13T04:28:00Z</cp:lastPrinted>
  <dcterms:modified xsi:type="dcterms:W3CDTF">2020-10-15T08:21:08Z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