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全国基层科普行动计划项目支出绩效评价报告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2"/>
        <w:rPr>
          <w:rFonts w:ascii="黑体" w:eastAsia="黑体"/>
          <w:b/>
          <w:color w:val="000000"/>
          <w:sz w:val="30"/>
          <w:szCs w:val="30"/>
        </w:rPr>
      </w:pPr>
      <w:r>
        <w:rPr>
          <w:rFonts w:hint="eastAsia" w:ascii="黑体" w:eastAsia="黑体"/>
          <w:b/>
          <w:color w:val="000000"/>
          <w:sz w:val="30"/>
          <w:szCs w:val="30"/>
        </w:rPr>
        <w:t>项目名称：全国基层科普行动计划项目</w:t>
      </w:r>
    </w:p>
    <w:p>
      <w:pPr>
        <w:spacing w:line="360" w:lineRule="auto"/>
        <w:ind w:firstLine="602"/>
        <w:rPr>
          <w:rFonts w:ascii="黑体" w:eastAsia="黑体"/>
          <w:b/>
          <w:color w:val="000000"/>
          <w:sz w:val="30"/>
          <w:szCs w:val="30"/>
        </w:rPr>
      </w:pPr>
      <w:r>
        <w:rPr>
          <w:rFonts w:hint="eastAsia" w:ascii="黑体" w:eastAsia="黑体"/>
          <w:b/>
          <w:color w:val="000000"/>
          <w:sz w:val="30"/>
          <w:szCs w:val="30"/>
        </w:rPr>
        <w:t>实施单位：和田地区科学技术协会</w:t>
      </w:r>
    </w:p>
    <w:p>
      <w:pPr>
        <w:spacing w:line="360" w:lineRule="auto"/>
        <w:ind w:firstLine="602"/>
        <w:rPr>
          <w:rFonts w:ascii="黑体" w:eastAsia="黑体"/>
          <w:b/>
          <w:color w:val="000000"/>
          <w:sz w:val="30"/>
          <w:szCs w:val="30"/>
        </w:rPr>
      </w:pPr>
      <w:r>
        <w:rPr>
          <w:rFonts w:hint="eastAsia" w:ascii="黑体" w:eastAsia="黑体"/>
          <w:b/>
          <w:color w:val="000000"/>
          <w:sz w:val="30"/>
          <w:szCs w:val="30"/>
        </w:rPr>
        <w:t>主管部门：和田地区科学技术协会</w:t>
      </w:r>
    </w:p>
    <w:p>
      <w:pPr>
        <w:spacing w:line="360" w:lineRule="auto"/>
        <w:ind w:firstLine="602"/>
        <w:rPr>
          <w:rFonts w:ascii="黑体" w:eastAsia="黑体"/>
          <w:b/>
          <w:color w:val="000000"/>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spacing w:line="240" w:lineRule="atLeast"/>
        <w:jc w:val="center"/>
        <w:rPr>
          <w:rFonts w:ascii="黑体" w:hAnsi="黑体" w:eastAsia="黑体" w:cs="黑体"/>
          <w:b/>
          <w:bCs/>
          <w:sz w:val="36"/>
          <w:szCs w:val="36"/>
        </w:rPr>
      </w:pPr>
      <w:r>
        <w:rPr>
          <w:rFonts w:hint="eastAsia" w:ascii="黑体" w:hAnsi="黑体" w:eastAsia="黑体" w:cs="黑体"/>
          <w:b/>
          <w:bCs/>
          <w:sz w:val="36"/>
          <w:szCs w:val="36"/>
        </w:rPr>
        <w:t>全国基层科普行动计划项目支出绩效评价报告</w:t>
      </w:r>
    </w:p>
    <w:p>
      <w:pPr>
        <w:pStyle w:val="3"/>
        <w:ind w:firstLine="640"/>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根据《财政部关于下达2017年“基层科普行动计划”资金预算的通知》（财教科【201】27号）和自治区财政厅《关于下达2019年全国“全国基层科普行动计划”项目资金的通知》精神。结合工作实际，用于创新基层科普服务理念和服务方式，不断提升基层科普服务的覆盖面和实效性；强化科技馆科普信息化建设、基层科普组织和人才队伍建设，基层开展科技助力精准扶贫工作等。计划采购10个触控屏，100个智能电视，加强科普信息化建设，增强基层科普组织和人才队伍建设，根据自治区评定情况，对七县一市7个先进科普示范基地、10个科普示范社区、58个科普带头人进行奖补,开展培训48次,提高全民科学素质。</w:t>
      </w:r>
    </w:p>
    <w:p>
      <w:pPr>
        <w:pStyle w:val="2"/>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2.项目实施主体</w:t>
      </w:r>
    </w:p>
    <w:p>
      <w:pPr>
        <w:numPr>
          <w:ilvl w:val="0"/>
          <w:numId w:val="2"/>
        </w:num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单位主要职能：1.开展学术交流，活跃学术思想，促进科学发展，推动自主创新。2.组织科学技术工作者为建立以企业的自主创新能力作项献。3.依据《中华人民共和国科学技术普及法》，弘扬科学精神，普及科学知识，传播科学思想和科学方法。捍卫科学尊严，推广先进技术，开展青少年科学技术教育活动，提高全民科学素质。4.反映科学技术工作的的建议，意见和诉求，维护科学技术工作者的合法权益。促进学术道德建设和学风建设。5.组织科学技术工作者参与国家科学技术政策、法规制定和国家事务的政治协商、科学决策、民主监督工作。6.表彰奖励优秀科学技术工作者，举荐人才。7.开展科学论证、咨询服务，提出政策建议，促进科学技术成果的转化；接受委托项目评估、成果鉴定，参与技术技术标准制定，专业技术资格评审和认证等任务。8.开展民间国际科学技术交流活动，促进国际科学技术合作，发展同国外的科学技术团体和科学技术工作者的友好交往。9.开展继续教育和培训工作。10.兴办附合中国科学技术协会宗旨的社会公益性事业。</w:t>
      </w:r>
    </w:p>
    <w:p>
      <w:pPr>
        <w:pStyle w:val="2"/>
        <w:ind w:firstLine="562"/>
      </w:pPr>
      <w:r>
        <w:rPr>
          <w:rFonts w:hint="eastAsia"/>
        </w:rPr>
        <w:t>3.项目组织结构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为确保我单位该项目的顺利实施，我单位成立项目实施小组。</w:t>
      </w:r>
    </w:p>
    <w:p>
      <w:pPr>
        <w:pStyle w:val="2"/>
        <w:ind w:firstLine="562"/>
      </w:pPr>
      <w:r>
        <w:rPr>
          <w:rFonts w:hint="eastAsia"/>
        </w:rPr>
        <w:t>4.主要内容及实施情况</w:t>
      </w:r>
    </w:p>
    <w:p>
      <w:pPr>
        <w:ind w:firstLine="84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结合工作实际，用于创新基层科普服务理念和服务方式，不断提升基层科普服务的覆盖面和实效性；强化科技馆科普信息化建设、基层科普组织和人才队伍建设，基层开展科技助力精准扶贫工作等, 根据《财政部关于下达2017年“基层科普行动计划”资金预算的通知》（财教科【201】27号）和自治区财政厅《关于下达2019年全国“全国基层科普行动计划”项目资金的通知》精神。计划采购10个触控屏，100个智能电视，加强科普信息化建设，拟定于七县一市中小学、乡镇、火车站、农贸市场、休闲公园等地建设科普E站，科普画廊等信息化建设项目;加强基层科普组织和人才队伍建设，根据自治区评定情况，对七县一市7个先进科普示范基地、10个科普示范社区、10个科普带头人进行奖补;加强基层开展科技助力精准扶贫工作，开展培训48次以上;提高全民科学素质。</w:t>
      </w:r>
    </w:p>
    <w:p>
      <w:pPr>
        <w:pStyle w:val="2"/>
        <w:ind w:firstLine="562"/>
      </w:pPr>
      <w:r>
        <w:rPr>
          <w:rFonts w:hint="eastAsia"/>
        </w:rPr>
        <w:t>5.资金投入和使用情况</w:t>
      </w:r>
    </w:p>
    <w:p>
      <w:pPr>
        <w:ind w:firstLine="560"/>
      </w:pPr>
      <w:r>
        <w:rPr>
          <w:rFonts w:hint="eastAsia"/>
        </w:rPr>
        <w:t>（1）项目资金安排落实、总投入等情况分析</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全国基层科普行动计划项目</w:t>
      </w:r>
      <w:r>
        <w:rPr>
          <w:color w:val="000000" w:themeColor="text1"/>
          <w14:textFill>
            <w14:solidFill>
              <w14:schemeClr w14:val="tx1"/>
            </w14:solidFill>
          </w14:textFill>
        </w:rPr>
        <w:t>预算安排总额为</w:t>
      </w:r>
      <w:r>
        <w:rPr>
          <w:rFonts w:hint="eastAsia"/>
          <w:color w:val="000000" w:themeColor="text1"/>
          <w14:textFill>
            <w14:solidFill>
              <w14:schemeClr w14:val="tx1"/>
            </w14:solidFill>
          </w14:textFill>
        </w:rPr>
        <w:t>74</w:t>
      </w:r>
      <w:r>
        <w:rPr>
          <w:color w:val="000000" w:themeColor="text1"/>
          <w14:textFill>
            <w14:solidFill>
              <w14:schemeClr w14:val="tx1"/>
            </w14:solidFill>
          </w14:textFill>
        </w:rPr>
        <w:t>万元，其中</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财政资金</w:t>
      </w:r>
      <w:r>
        <w:rPr>
          <w:rFonts w:hint="eastAsia"/>
          <w:color w:val="000000" w:themeColor="text1"/>
          <w14:textFill>
            <w14:solidFill>
              <w14:schemeClr w14:val="tx1"/>
            </w14:solidFill>
          </w14:textFill>
        </w:rPr>
        <w:t>74</w:t>
      </w:r>
      <w:r>
        <w:rPr>
          <w:color w:val="000000" w:themeColor="text1"/>
          <w14:textFill>
            <w14:solidFill>
              <w14:schemeClr w14:val="tx1"/>
            </w14:solidFill>
          </w14:textFill>
        </w:rPr>
        <w:t>万元，其他资金</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万元，2019年实际收到预算资金</w:t>
      </w:r>
      <w:r>
        <w:rPr>
          <w:rFonts w:hint="eastAsia"/>
          <w:color w:val="000000" w:themeColor="text1"/>
          <w14:textFill>
            <w14:solidFill>
              <w14:schemeClr w14:val="tx1"/>
            </w14:solidFill>
          </w14:textFill>
        </w:rPr>
        <w:t>74</w:t>
      </w:r>
      <w:r>
        <w:rPr>
          <w:color w:val="000000" w:themeColor="text1"/>
          <w14:textFill>
            <w14:solidFill>
              <w14:schemeClr w14:val="tx1"/>
            </w14:solidFill>
          </w14:textFill>
        </w:rPr>
        <w:t>万元，预算资金到位率为</w:t>
      </w:r>
      <w:r>
        <w:rPr>
          <w:rFonts w:hint="eastAsia"/>
          <w:color w:val="000000" w:themeColor="text1"/>
          <w14:textFill>
            <w14:solidFill>
              <w14:schemeClr w14:val="tx1"/>
            </w14:solidFill>
          </w14:textFill>
        </w:rPr>
        <w:t>100</w:t>
      </w:r>
      <w:r>
        <w:rPr>
          <w:color w:val="000000" w:themeColor="text1"/>
          <w14:textFill>
            <w14:solidFill>
              <w14:schemeClr w14:val="tx1"/>
            </w14:solidFill>
          </w14:textFill>
        </w:rPr>
        <w:t>%。</w:t>
      </w:r>
    </w:p>
    <w:p>
      <w:pPr>
        <w:numPr>
          <w:ilvl w:val="0"/>
          <w:numId w:val="3"/>
        </w:numPr>
        <w:ind w:firstLine="544"/>
        <w:rPr>
          <w:rFonts w:ascii="楷体" w:hAnsi="楷体" w:eastAsia="楷体"/>
          <w:bCs/>
          <w:spacing w:val="-4"/>
        </w:rPr>
      </w:pPr>
      <w:r>
        <w:rPr>
          <w:rFonts w:hint="eastAsia" w:ascii="楷体" w:hAnsi="楷体" w:eastAsia="楷体"/>
          <w:bCs/>
          <w:spacing w:val="-4"/>
        </w:rPr>
        <w:t>项目资金实际使用情况分析</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本项目实际支付资金33万元，预算执行率44.6</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，项目资金共计支出33万元，主要用于支付采购智能电视费用24万元；印刷费用1.5万元；奖补科普带头人人1.5万元；奖补先进科普示范社区3万元；奖补先进科普示范基地3万元，结转下年度使用41万元。</w:t>
      </w:r>
    </w:p>
    <w:p>
      <w:pPr>
        <w:pStyle w:val="4"/>
        <w:numPr>
          <w:ilvl w:val="0"/>
          <w:numId w:val="4"/>
        </w:numPr>
        <w:ind w:firstLine="643"/>
      </w:pPr>
      <w:r>
        <w:rPr>
          <w:rFonts w:hint="eastAsia"/>
        </w:rPr>
        <w:t>项目绩效目标</w:t>
      </w:r>
    </w:p>
    <w:p>
      <w:pPr>
        <w:pStyle w:val="2"/>
        <w:ind w:firstLine="562"/>
      </w:pPr>
      <w:r>
        <w:rPr>
          <w:rFonts w:hint="eastAsia"/>
        </w:rPr>
        <w:t>1.总体目标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全国基层科普行动计划项目</w:t>
      </w:r>
      <w:r>
        <w:rPr>
          <w:color w:val="000000" w:themeColor="text1"/>
          <w14:textFill>
            <w14:solidFill>
              <w14:schemeClr w14:val="tx1"/>
            </w14:solidFill>
          </w14:textFill>
        </w:rPr>
        <w:t>预算资金到位率为</w:t>
      </w:r>
      <w:r>
        <w:rPr>
          <w:rFonts w:hint="eastAsia"/>
          <w:color w:val="000000" w:themeColor="text1"/>
          <w14:textFill>
            <w14:solidFill>
              <w14:schemeClr w14:val="tx1"/>
            </w14:solidFill>
          </w14:textFill>
        </w:rPr>
        <w:t>100</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，本项目实际支付资金31万元，预算执行率44.6</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采购8个智能电视，加强科普信息化建设，增强基层科普组织和人才队伍建设。根据自治区评定情况，对七县一市7个先进科普示范基地、10个科普示范社区、58个科普带头人进行奖补,开展培训48次,提高全民科学素质。按照计划资金拨付及时率达到100%，受益群众满意度达到95%。</w:t>
      </w:r>
    </w:p>
    <w:p>
      <w:pPr>
        <w:pStyle w:val="2"/>
        <w:ind w:firstLine="562"/>
      </w:pPr>
      <w:r>
        <w:rPr>
          <w:rFonts w:hint="eastAsia"/>
        </w:rPr>
        <w:t>2.阶段性目标</w:t>
      </w:r>
    </w:p>
    <w:p>
      <w:pPr>
        <w:ind w:firstLine="560"/>
        <w:rPr>
          <w:rFonts w:hAnsi="Arial" w:cs="宋体"/>
          <w:bCs/>
          <w:color w:val="000000"/>
        </w:rPr>
      </w:pPr>
      <w:r>
        <w:rPr>
          <w:rFonts w:hint="eastAsia" w:hAnsi="Arial" w:cs="宋体"/>
          <w:bCs/>
          <w:color w:val="000000"/>
        </w:rPr>
        <w:t>根据《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（新财预〔2018〕189号）、《中共和田地委 和田地区行署印发&lt;和田地区关于全面实施预算绩效管理实施方案&gt;的通知》（和党发〔2018〕31号）</w:t>
      </w:r>
      <w:r>
        <w:rPr>
          <w:rFonts w:hint="eastAsia" w:hAnsi="Arial" w:cs="宋体"/>
          <w:bCs/>
          <w:color w:val="000000"/>
        </w:rPr>
        <w:t>的规定，结合项目实施单位的规章制度以及财务相关资料，评价小组对项目绩效目标进行了进一步的完善，完善后绩效目标如下：</w:t>
      </w:r>
    </w:p>
    <w:p>
      <w:pPr>
        <w:numPr>
          <w:ilvl w:val="0"/>
          <w:numId w:val="5"/>
        </w:num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项目产出目标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①数量指标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“采购触控屏（个）”指标，预期指标值为≥10；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“采购智能电视（个）”指标，预期指标值为≥100。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“开展培训次数（次）”指标，预期指标值为≥48；</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“奖补先进科普示范区数量（个）”指标，预期指标值为≥10；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“奖补先进科普示范基地（个）”指标，预期指标值为≥7；</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“奖补科普带头人人数（人）”指标，预期指标值为≥100。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②质量指标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“设备采购验收合格率（%）”指标，预期指标值为100%；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“奖补资金足额发放率（%）”指标，预期指标值为100%；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“宣传印刷材料质量合格率（%）”指标，预期指标为100%。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③时效指标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“设备到货及时率（%)”指标，预期指标值为100%；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“科普培训按时率（%）”指标，预期指标值为100%。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“宣传工作按时率）（%）”指标，预期指标值为100%；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“资金支付及时率（%）”指标，预期指标值为100%。</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④成本指标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“采购触控屏（万元）”指标，预期指标值为≤9；</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“采购智能电视（万元）”指标，预期指标值为≤42.5。</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“印刷费用（万元）”指标，预期指标值为≤3；</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“奖补科普带头人人数（万元）”指标，预期指标值为≤4.5。</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“奖补先进科普示范社区数量（万元）”指标，预期指标值为≤10.5；</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“奖补先进科普示范基地（万元）”指标，预期指标值为≤4.5。</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（2）项目效益目标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①经济效益指标</w:t>
      </w:r>
    </w:p>
    <w:p>
      <w:pPr>
        <w:ind w:firstLine="722" w:firstLineChars="258"/>
        <w:rPr>
          <w:color w:val="000000" w:themeColor="text1"/>
          <w14:textFill>
            <w14:solidFill>
              <w14:schemeClr w14:val="tx1"/>
            </w14:solidFill>
          </w14:textFill>
        </w:rPr>
      </w:pPr>
      <w:r>
        <w:rPr>
          <w:rFonts w:hint="eastAsia"/>
          <w:color w:val="000000" w:themeColor="text1"/>
          <w14:textFill>
            <w14:solidFill>
              <w14:schemeClr w14:val="tx1"/>
            </w14:solidFill>
          </w14:textFill>
        </w:rPr>
        <w:t>无</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②社会效益指标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“提高全民科学素质”指标，预期指标值为有效提高；</w:t>
      </w:r>
    </w:p>
    <w:p>
      <w:pPr>
        <w:ind w:left="280" w:leftChars="100" w:firstLine="280" w:firstLineChars="100"/>
        <w:rPr>
          <w:color w:val="000000" w:themeColor="text1"/>
          <w14:textFill>
            <w14:solidFill>
              <w14:schemeClr w14:val="tx1"/>
            </w14:solidFill>
          </w14:textFill>
        </w:rPr>
      </w:pPr>
      <w:r>
        <w:rPr>
          <w:rFonts w:hint="eastAsia"/>
          <w:color w:val="000000" w:themeColor="text1"/>
          <w14:textFill>
            <w14:solidFill>
              <w14:schemeClr w14:val="tx1"/>
            </w14:solidFill>
          </w14:textFill>
        </w:rPr>
        <w:t>“科普实用技术培训交流知晓率（%）”指标，预期指标值为≥95%；</w:t>
      </w:r>
    </w:p>
    <w:p>
      <w:pPr>
        <w:ind w:left="280" w:leftChars="100" w:firstLine="280" w:firstLineChars="100"/>
        <w:rPr>
          <w:color w:val="000000" w:themeColor="text1"/>
          <w14:textFill>
            <w14:solidFill>
              <w14:schemeClr w14:val="tx1"/>
            </w14:solidFill>
          </w14:textFill>
        </w:rPr>
      </w:pPr>
      <w:r>
        <w:rPr>
          <w:rFonts w:hint="eastAsia"/>
          <w:color w:val="000000" w:themeColor="text1"/>
          <w14:textFill>
            <w14:solidFill>
              <w14:schemeClr w14:val="tx1"/>
            </w14:solidFill>
          </w14:textFill>
        </w:rPr>
        <w:t>“科普E站宣传知晓率（%）”指标，预期指标为≥85%。</w:t>
      </w:r>
    </w:p>
    <w:p>
      <w:pPr>
        <w:ind w:left="280" w:leftChars="100" w:firstLine="280" w:firstLineChars="100"/>
        <w:rPr>
          <w:color w:val="000000" w:themeColor="text1"/>
          <w14:textFill>
            <w14:solidFill>
              <w14:schemeClr w14:val="tx1"/>
            </w14:solidFill>
          </w14:textFill>
        </w:rPr>
      </w:pPr>
      <w:r>
        <w:rPr>
          <w:rFonts w:hint="eastAsia"/>
          <w:color w:val="000000" w:themeColor="text1"/>
          <w14:textFill>
            <w14:solidFill>
              <w14:schemeClr w14:val="tx1"/>
            </w14:solidFill>
          </w14:textFill>
        </w:rPr>
        <w:t>③生态效益指标</w:t>
      </w:r>
    </w:p>
    <w:p>
      <w:pPr>
        <w:ind w:firstLine="84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无</w:t>
      </w:r>
    </w:p>
    <w:p>
      <w:pPr>
        <w:ind w:firstLine="84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④可持续影响</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“提高科普宣传力度”指标，预期指标值为持续提高。</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（3）相关满意度目标</w:t>
      </w:r>
    </w:p>
    <w:p>
      <w:pPr>
        <w:ind w:firstLine="84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①满意度指标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“基层科普行动计划受益群众满意长（%）”指标，预期指标值为≥95%。</w:t>
      </w:r>
    </w:p>
    <w:p>
      <w:pPr>
        <w:pStyle w:val="3"/>
        <w:ind w:firstLine="640"/>
      </w:pPr>
      <w:r>
        <w:rPr>
          <w:rFonts w:hint="eastAsia"/>
        </w:rPr>
        <w:t>二、绩效评价工作开展情况</w:t>
      </w:r>
    </w:p>
    <w:p>
      <w:pPr>
        <w:pStyle w:val="4"/>
        <w:numPr>
          <w:ilvl w:val="0"/>
          <w:numId w:val="6"/>
        </w:numPr>
        <w:ind w:firstLine="643"/>
        <w:rPr>
          <w:rFonts w:ascii="楷体" w:hAnsi="楷体" w:cs="楷体"/>
          <w:szCs w:val="32"/>
        </w:rPr>
      </w:pPr>
      <w:bookmarkStart w:id="0" w:name="_Toc12868"/>
      <w:bookmarkStart w:id="1" w:name="_Toc21664"/>
      <w:bookmarkStart w:id="2" w:name="_Toc5258"/>
      <w:bookmarkStart w:id="3" w:name="_Toc22922"/>
      <w:bookmarkStart w:id="4" w:name="_Toc26632"/>
      <w:bookmarkStart w:id="5" w:name="_Toc22169_WPSOffice_Level2"/>
      <w:bookmarkStart w:id="6" w:name="_Toc480473081"/>
      <w:bookmarkStart w:id="7" w:name="_Toc5462343"/>
      <w:r>
        <w:rPr>
          <w:rFonts w:hint="eastAsia" w:ascii="楷体" w:hAnsi="楷体" w:cs="楷体"/>
          <w:szCs w:val="32"/>
        </w:rPr>
        <w:t>绩效评价的目的</w:t>
      </w:r>
      <w:bookmarkEnd w:id="0"/>
      <w:bookmarkEnd w:id="1"/>
      <w:bookmarkEnd w:id="2"/>
      <w:bookmarkEnd w:id="3"/>
      <w:bookmarkEnd w:id="4"/>
      <w:bookmarkEnd w:id="5"/>
      <w:bookmarkEnd w:id="6"/>
      <w:bookmarkEnd w:id="7"/>
      <w:r>
        <w:rPr>
          <w:rFonts w:hint="eastAsia" w:ascii="楷体" w:hAnsi="楷体" w:cs="楷体"/>
          <w:szCs w:val="32"/>
        </w:rPr>
        <w:t>、对象和范围</w:t>
      </w:r>
    </w:p>
    <w:p>
      <w:pPr>
        <w:pStyle w:val="2"/>
        <w:ind w:firstLine="562"/>
      </w:pPr>
      <w:r>
        <w:rPr>
          <w:rFonts w:hint="eastAsia"/>
        </w:rPr>
        <w:t>1.</w:t>
      </w:r>
      <w:r>
        <w:rPr>
          <w:rFonts w:hint="eastAsia" w:ascii="楷体" w:hAnsi="楷体" w:eastAsia="楷体" w:cs="楷体"/>
          <w:sz w:val="32"/>
        </w:rPr>
        <w:t>绩效评价的目的</w:t>
      </w:r>
    </w:p>
    <w:p>
      <w:pPr>
        <w:spacing w:line="600" w:lineRule="exact"/>
        <w:ind w:firstLine="560"/>
      </w:pPr>
      <w:r>
        <w:rPr>
          <w:rFonts w:hint="eastAsia"/>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562"/>
      </w:pPr>
      <w:r>
        <w:rPr>
          <w:rFonts w:hint="eastAsia"/>
        </w:rPr>
        <w:t>2.绩效评价的对象和范围</w:t>
      </w:r>
    </w:p>
    <w:p>
      <w:pPr>
        <w:ind w:firstLine="560"/>
      </w:pPr>
      <w:r>
        <w:rPr>
          <w:rFonts w:hint="eastAsia"/>
        </w:rPr>
        <w:t>此次我单位根据《财政支出绩效评价管理暂行办法》（财预〔2020〕10号）文件要求对2019年度我单位实施的</w:t>
      </w:r>
      <w:r>
        <w:rPr>
          <w:rFonts w:hint="eastAsia"/>
          <w:color w:val="000000" w:themeColor="text1"/>
          <w14:textFill>
            <w14:solidFill>
              <w14:schemeClr w14:val="tx1"/>
            </w14:solidFill>
          </w14:textFill>
        </w:rPr>
        <w:t>全国基层科普行动计划项目开</w:t>
      </w:r>
      <w:r>
        <w:rPr>
          <w:rFonts w:hint="eastAsia"/>
        </w:rPr>
        <w:t>展部门绩效评价，本次绩效评价主要围绕项目</w:t>
      </w:r>
      <w:r>
        <w:t>资金使用情况、财务管理状况和资产配置、使用、处置及其收益管理情况</w:t>
      </w:r>
      <w:r>
        <w:rPr>
          <w:rFonts w:hint="eastAsia"/>
        </w:rPr>
        <w:t>；项目管理</w:t>
      </w:r>
      <w:r>
        <w:t>相关制度</w:t>
      </w:r>
      <w:r>
        <w:rPr>
          <w:rFonts w:hint="eastAsia"/>
        </w:rPr>
        <w:t>及</w:t>
      </w:r>
      <w:r>
        <w:t>措施</w:t>
      </w:r>
      <w:r>
        <w:rPr>
          <w:rFonts w:hint="eastAsia"/>
        </w:rPr>
        <w:t>是否被认真执行</w:t>
      </w:r>
      <w:r>
        <w:t>；绩效目标的实现程度，包括是否达到预定产出和效果等</w:t>
      </w:r>
      <w:r>
        <w:rPr>
          <w:rFonts w:hint="eastAsia"/>
        </w:rPr>
        <w:t>方面进行部门绩效评价。</w:t>
      </w:r>
    </w:p>
    <w:p>
      <w:pPr>
        <w:pStyle w:val="4"/>
        <w:numPr>
          <w:ilvl w:val="0"/>
          <w:numId w:val="6"/>
        </w:numPr>
        <w:ind w:firstLine="643"/>
      </w:pPr>
      <w:r>
        <w:rPr>
          <w:rFonts w:hint="eastAsia"/>
        </w:rPr>
        <w:t>评价工作简述</w:t>
      </w:r>
    </w:p>
    <w:p>
      <w:pPr>
        <w:pStyle w:val="2"/>
        <w:ind w:firstLine="562"/>
      </w:pPr>
      <w:r>
        <w:rPr>
          <w:rFonts w:hint="eastAsia"/>
        </w:rPr>
        <w:t>1.绩效评价原则</w:t>
      </w:r>
    </w:p>
    <w:p>
      <w:pPr>
        <w:spacing w:line="600" w:lineRule="exact"/>
        <w:ind w:firstLine="560"/>
      </w:pPr>
      <w:r>
        <w:rPr>
          <w:rFonts w:hint="eastAsia"/>
        </w:rPr>
        <w:t>依据《预算法》、《中共中央国务院关于全面实施预算绩效管理的意见》（中发〔2018〕34号）、《自治区党委自治区人民政府关于全面实施预算绩效管理的实施意见》（新党发〔2018〕30号）、《自治区财政支出绩效评价管理暂行办法》（新财预〔2018〕189号）、《中共和田地委 和田地区行署印发&lt;和田地区关于全面实施预算绩效管理实施方案&gt;的通知》（和党发〔2018〕31号）等要求，本次绩效评价秉承科学规范、公正公开、分级分类、绩效相关等原则，按照从投入、过程到产出效果和影响的绩效逻辑路径，结合</w:t>
      </w:r>
      <w:r>
        <w:rPr>
          <w:rFonts w:hint="eastAsia"/>
          <w:color w:val="000000" w:themeColor="text1"/>
          <w14:textFill>
            <w14:solidFill>
              <w14:schemeClr w14:val="tx1"/>
            </w14:solidFill>
          </w14:textFill>
        </w:rPr>
        <w:t>全国基层科普行动计划项目实</w:t>
      </w:r>
      <w:r>
        <w:rPr>
          <w:rFonts w:hint="eastAsia"/>
        </w:rPr>
        <w:t>际开展情况，运用定量和定性分析相结合的方法，总结经验做法，反思项目实施和管理中的问题，以切实提升财政资金管理的科学化、规范化和精细化水平。</w:t>
      </w:r>
    </w:p>
    <w:p>
      <w:pPr>
        <w:spacing w:line="600" w:lineRule="exact"/>
        <w:ind w:firstLine="560"/>
      </w:pPr>
      <w:r>
        <w:rPr>
          <w:rFonts w:hint="eastAsia"/>
        </w:rPr>
        <w:t>根据以上原则，绩效评价应遵循如下要求：</w:t>
      </w:r>
    </w:p>
    <w:p>
      <w:pPr>
        <w:spacing w:line="600" w:lineRule="exact"/>
        <w:ind w:firstLine="560"/>
      </w:pPr>
      <w:r>
        <w:rPr>
          <w:rFonts w:hint="eastAsia"/>
        </w:rPr>
        <w:t>（1）在数据采集时，采取客观数据，主管部门审查、社会中介组织复查，与问卷调查相结合的形式，以保证各项指标的真实性。</w:t>
      </w:r>
    </w:p>
    <w:p>
      <w:pPr>
        <w:spacing w:line="600" w:lineRule="exact"/>
        <w:ind w:firstLine="560"/>
      </w:pPr>
      <w:r>
        <w:rPr>
          <w:rFonts w:hint="eastAsia"/>
        </w:rPr>
        <w:t>（2）保证评价结果的真实性、公正性，提高评价报告的公信力。</w:t>
      </w:r>
    </w:p>
    <w:p>
      <w:pPr>
        <w:spacing w:line="600" w:lineRule="exact"/>
        <w:ind w:firstLine="560"/>
      </w:pPr>
      <w:r>
        <w:rPr>
          <w:rFonts w:hint="eastAsia"/>
        </w:rPr>
        <w:t>（3）绩效评价报告应当简明扼要，除了对绩效评价的过程、结果描述外，还应总结经验，指出问题，并就共性问题提出可操作性改进建议。</w:t>
      </w:r>
    </w:p>
    <w:p>
      <w:pPr>
        <w:pStyle w:val="2"/>
        <w:ind w:firstLine="562"/>
      </w:pPr>
      <w:bookmarkStart w:id="8" w:name="_Toc26131"/>
      <w:bookmarkStart w:id="9" w:name="_Toc428278230"/>
      <w:bookmarkStart w:id="10" w:name="_Toc1913"/>
      <w:bookmarkStart w:id="11" w:name="_Toc419984722"/>
      <w:r>
        <w:rPr>
          <w:rFonts w:hint="eastAsia"/>
        </w:rPr>
        <w:t>2.绩效评价指标体系</w:t>
      </w:r>
      <w:bookmarkEnd w:id="8"/>
      <w:bookmarkEnd w:id="9"/>
      <w:bookmarkEnd w:id="10"/>
      <w:bookmarkEnd w:id="11"/>
    </w:p>
    <w:p>
      <w:pPr>
        <w:pStyle w:val="2"/>
        <w:ind w:firstLine="562"/>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资料研读及前期调研，结合项目的实际开展情况，将项目的指标体系进行了调整和完善</w:t>
      </w:r>
      <w:r>
        <w:rPr>
          <w:rFonts w:hint="eastAsia"/>
          <w:lang w:val="zh-TW"/>
        </w:rPr>
        <w:t>，</w:t>
      </w:r>
      <w:r>
        <w:rPr>
          <w:rFonts w:hint="eastAsia"/>
          <w:lang w:val="zh-TW" w:eastAsia="zh-TW"/>
        </w:rPr>
        <w:t>最终形成了项目绩效评价指标体系</w:t>
      </w:r>
      <w:r>
        <w:rPr>
          <w:rFonts w:hint="eastAsia"/>
        </w:rPr>
        <w:t>3.评价方法</w:t>
      </w:r>
    </w:p>
    <w:p>
      <w:pPr>
        <w:ind w:firstLine="560"/>
      </w:pPr>
      <w:r>
        <w:rPr>
          <w:rFonts w:hint="eastAsia"/>
        </w:rPr>
        <w:t>本次绩效评价采用的方法比较法、公众评判法对项目绩效目标预期指标值与实施情况进行比较，以及采取公众问卷及抽样调查等方式进行评判的方法对该项目进行评价。</w:t>
      </w:r>
    </w:p>
    <w:p>
      <w:pPr>
        <w:pStyle w:val="2"/>
        <w:ind w:firstLine="562"/>
      </w:pPr>
      <w:r>
        <w:rPr>
          <w:rFonts w:hint="eastAsia"/>
        </w:rPr>
        <w:t>4.评价标准</w:t>
      </w:r>
    </w:p>
    <w:p>
      <w:pPr>
        <w:ind w:firstLine="560"/>
        <w:rPr>
          <w:color w:val="FF0000"/>
        </w:rPr>
      </w:pPr>
      <w:r>
        <w:rPr>
          <w:rFonts w:hint="eastAsia"/>
        </w:rPr>
        <w:t>本次绩效评价采用的标准计划标准、行业标准、历史标准对绩效指标完成情况进行对比。</w:t>
      </w:r>
    </w:p>
    <w:p>
      <w:pPr>
        <w:pStyle w:val="4"/>
        <w:numPr>
          <w:ilvl w:val="0"/>
          <w:numId w:val="6"/>
        </w:numPr>
        <w:ind w:firstLine="643"/>
      </w:pPr>
      <w:r>
        <w:rPr>
          <w:rFonts w:hint="eastAsia"/>
        </w:rPr>
        <w:t>绩效评价工作过程</w:t>
      </w:r>
    </w:p>
    <w:p>
      <w:pPr>
        <w:pStyle w:val="15"/>
        <w:keepNext w:val="0"/>
        <w:keepLines w:val="0"/>
        <w:numPr>
          <w:ilvl w:val="0"/>
          <w:numId w:val="0"/>
        </w:numPr>
        <w:ind w:firstLine="640" w:firstLineChars="200"/>
        <w:outlineLvl w:val="9"/>
      </w:pPr>
      <w:r>
        <w:rPr>
          <w:rFonts w:hint="eastAsia"/>
          <w:b w:val="0"/>
        </w:rPr>
        <w:t>本次评价成立了评价工作组，成员如下</w:t>
      </w:r>
      <w:r>
        <w:rPr>
          <w:rFonts w:hint="eastAsia" w:hAnsi="Arial"/>
          <w:b w:val="0"/>
        </w:rPr>
        <w:t>：本次评价设计了评价方案、评价指标体系，通过资料分析、调研、访谈满意度调查等方式形成评价结论，确定评价意见，并出具评价报告。　</w:t>
      </w:r>
    </w:p>
    <w:p>
      <w:pPr>
        <w:pStyle w:val="3"/>
        <w:numPr>
          <w:ilvl w:val="0"/>
          <w:numId w:val="7"/>
        </w:numPr>
        <w:ind w:firstLine="640"/>
      </w:pPr>
      <w:r>
        <w:rPr>
          <w:rFonts w:hint="eastAsia"/>
        </w:rPr>
        <w:t>综合评价情况及评价结论</w:t>
      </w:r>
    </w:p>
    <w:p>
      <w:pPr>
        <w:pStyle w:val="15"/>
        <w:keepNext w:val="0"/>
        <w:keepLines w:val="0"/>
        <w:numPr>
          <w:ilvl w:val="0"/>
          <w:numId w:val="0"/>
        </w:numPr>
        <w:ind w:firstLine="640" w:firstLineChars="200"/>
        <w:outlineLvl w:val="9"/>
        <w:rPr>
          <w:rFonts w:hint="eastAsia" w:hAnsi="Arial"/>
          <w:b w:val="0"/>
          <w:lang w:val="zh-TW" w:eastAsia="zh-TW"/>
        </w:rPr>
      </w:pPr>
      <w:r>
        <w:rPr>
          <w:rFonts w:hint="eastAsia" w:hAnsi="Arial"/>
          <w:b w:val="0"/>
        </w:rPr>
        <w:t>此次绩效评价</w:t>
      </w:r>
      <w:r>
        <w:rPr>
          <w:rFonts w:hint="eastAsia" w:hAnsi="Arial"/>
          <w:b w:val="0"/>
          <w:lang w:val="zh-TW" w:eastAsia="zh-TW"/>
        </w:rPr>
        <w:t>通过组论证的评价指标体系及评分标准，</w:t>
      </w:r>
      <w:r>
        <w:rPr>
          <w:rFonts w:hint="eastAsia" w:hAnsi="Arial"/>
          <w:b w:val="0"/>
        </w:rPr>
        <w:t>采用的方法比较法、公众评判法，</w:t>
      </w:r>
      <w:r>
        <w:rPr>
          <w:rFonts w:hint="eastAsia" w:hAnsi="Arial"/>
          <w:b w:val="0"/>
          <w:lang w:val="zh-TW" w:eastAsia="zh-TW"/>
        </w:rPr>
        <w:t>对</w:t>
      </w:r>
      <w:r>
        <w:rPr>
          <w:rFonts w:hint="eastAsia" w:hAnsi="Arial"/>
          <w:b w:val="0"/>
        </w:rPr>
        <w:t>全国基层科普行动计划项目</w:t>
      </w:r>
      <w:r>
        <w:rPr>
          <w:rFonts w:hint="eastAsia" w:hAnsi="Arial"/>
          <w:b w:val="0"/>
          <w:lang w:val="zh-TW" w:eastAsia="zh-TW"/>
        </w:rPr>
        <w:t>绩效进行客观评价，最终评分结果：总分为</w:t>
      </w:r>
      <w:r>
        <w:rPr>
          <w:rFonts w:hint="eastAsia" w:hAnsi="Arial"/>
          <w:b w:val="0"/>
        </w:rPr>
        <w:t>93.26</w:t>
      </w:r>
      <w:r>
        <w:rPr>
          <w:rFonts w:hint="eastAsia" w:hAnsi="Arial"/>
          <w:b w:val="0"/>
          <w:lang w:val="zh-TW" w:eastAsia="zh-TW"/>
        </w:rPr>
        <w:t>分，绩效评级为“</w:t>
      </w:r>
      <w:r>
        <w:rPr>
          <w:rFonts w:hint="eastAsia" w:hAnsi="Arial"/>
          <w:b w:val="0"/>
          <w:lang w:val="zh-TW"/>
        </w:rPr>
        <w:t>优</w:t>
      </w:r>
      <w:r>
        <w:rPr>
          <w:rFonts w:hint="eastAsia" w:hAnsi="Arial"/>
          <w:b w:val="0"/>
          <w:lang w:val="zh-TW" w:eastAsia="zh-TW"/>
        </w:rPr>
        <w:t>”。各部分权重和绩效</w:t>
      </w:r>
      <w:r>
        <w:rPr>
          <w:rFonts w:hint="eastAsia" w:hAnsi="Arial"/>
          <w:b w:val="0"/>
        </w:rPr>
        <w:t>汇总</w:t>
      </w:r>
      <w:r>
        <w:rPr>
          <w:rFonts w:hint="eastAsia" w:hAnsi="Arial"/>
          <w:b w:val="0"/>
          <w:lang w:val="zh-TW" w:eastAsia="zh-TW"/>
        </w:rPr>
        <w:t>分值如下表所示：</w:t>
      </w:r>
    </w:p>
    <w:tbl>
      <w:tblPr>
        <w:tblStyle w:val="10"/>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表3-1：全国基层科普行动计划</w:t>
            </w:r>
            <w:r>
              <w:rPr>
                <w:rFonts w:hint="eastAsia" w:ascii="宋体" w:hAnsi="宋体" w:eastAsia="宋体" w:cs="宋体"/>
                <w:b/>
                <w:bCs/>
                <w:color w:val="000000"/>
                <w:kern w:val="0"/>
                <w:sz w:val="24"/>
                <w:lang w:bidi="ar"/>
              </w:rPr>
              <w:t>项</w:t>
            </w:r>
            <w:r>
              <w:rPr>
                <w:rFonts w:hint="eastAsia" w:ascii="宋体" w:hAnsi="宋体" w:eastAsia="宋体" w:cs="宋体"/>
                <w:b/>
                <w:color w:val="000000"/>
                <w:kern w:val="0"/>
                <w:sz w:val="24"/>
                <w:lang w:bidi="ar"/>
              </w:rPr>
              <w:t>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sz w:val="24"/>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17.84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26.67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28.75</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93.26</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89%</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96%</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93%</w:t>
            </w:r>
          </w:p>
        </w:tc>
      </w:tr>
    </w:tbl>
    <w:p>
      <w:pPr>
        <w:pStyle w:val="3"/>
        <w:ind w:firstLine="640"/>
      </w:pPr>
      <w:r>
        <w:rPr>
          <w:rFonts w:hint="eastAsia"/>
        </w:rPr>
        <w:t>四、绩效评价指标分析</w:t>
      </w:r>
    </w:p>
    <w:p>
      <w:pPr>
        <w:pStyle w:val="4"/>
        <w:ind w:firstLine="643"/>
      </w:pPr>
      <w:r>
        <w:rPr>
          <w:rFonts w:hint="eastAsia"/>
        </w:rPr>
        <w:t>（一）项目决策情况</w:t>
      </w:r>
    </w:p>
    <w:p>
      <w:pPr>
        <w:ind w:firstLine="560"/>
      </w:pPr>
      <w:r>
        <w:rPr>
          <w:rFonts w:hint="eastAsia"/>
        </w:rPr>
        <w:t>项目决策由3个二级指标和6个三级指标构成，权重分20分，实际得分20分，</w:t>
      </w:r>
      <w:r>
        <w:rPr>
          <w:rFonts w:hint="eastAsia"/>
          <w:color w:val="000000"/>
          <w:u w:color="000000"/>
          <w:lang w:val="zh-TW" w:eastAsia="zh-TW"/>
        </w:rPr>
        <w:t>各指标业绩值和绩效分值如表</w:t>
      </w:r>
      <w:r>
        <w:rPr>
          <w:rFonts w:hint="eastAsia"/>
          <w:color w:val="000000"/>
          <w:u w:color="000000"/>
        </w:rPr>
        <w:t>4</w:t>
      </w:r>
      <w:r>
        <w:rPr>
          <w:color w:val="000000"/>
          <w:u w:color="000000"/>
        </w:rPr>
        <w:t>-1</w:t>
      </w:r>
      <w:r>
        <w:rPr>
          <w:rFonts w:hint="eastAsia"/>
          <w:color w:val="000000"/>
          <w:u w:color="000000"/>
          <w:lang w:val="zh-TW" w:eastAsia="zh-TW"/>
        </w:rPr>
        <w:t>所示</w:t>
      </w:r>
      <w:r>
        <w:rPr>
          <w:rFonts w:hint="eastAsia"/>
        </w:rPr>
        <w:t>：</w:t>
      </w:r>
    </w:p>
    <w:p>
      <w:pPr>
        <w:keepNext/>
        <w:keepLines/>
        <w:ind w:firstLine="562"/>
        <w:jc w:val="center"/>
      </w:pPr>
      <w:r>
        <w:rPr>
          <w:rFonts w:hint="eastAsia"/>
          <w:b/>
          <w:bCs/>
          <w:color w:val="000000"/>
          <w:u w:color="000000"/>
          <w:lang w:val="zh-TW" w:eastAsia="zh-TW"/>
        </w:rPr>
        <w:t>表</w:t>
      </w:r>
      <w:r>
        <w:rPr>
          <w:rFonts w:hint="eastAsia"/>
          <w:b/>
          <w:bCs/>
          <w:color w:val="000000"/>
          <w:u w:color="000000"/>
        </w:rPr>
        <w:t>4</w:t>
      </w:r>
      <w:r>
        <w:rPr>
          <w:b/>
          <w:bCs/>
          <w:color w:val="000000"/>
          <w:u w:color="000000"/>
        </w:rPr>
        <w:t>-1</w:t>
      </w:r>
      <w:r>
        <w:rPr>
          <w:rFonts w:hint="eastAsia"/>
          <w:b/>
          <w:bCs/>
          <w:color w:val="000000" w:themeColor="text1"/>
          <w14:textFill>
            <w14:solidFill>
              <w14:schemeClr w14:val="tx1"/>
            </w14:solidFill>
          </w14:textFill>
        </w:rPr>
        <w:t>全国基层科普行动计划</w:t>
      </w:r>
      <w:r>
        <w:rPr>
          <w:rFonts w:hint="eastAsia" w:ascii="宋体" w:hAnsi="宋体" w:eastAsia="宋体" w:cs="宋体"/>
          <w:b/>
          <w:bCs/>
          <w:color w:val="000000"/>
          <w:kern w:val="0"/>
          <w:sz w:val="24"/>
          <w:lang w:bidi="ar"/>
        </w:rPr>
        <w:t>项</w:t>
      </w:r>
      <w:r>
        <w:rPr>
          <w:rFonts w:hint="eastAsia" w:ascii="宋体" w:hAnsi="宋体" w:eastAsia="宋体" w:cs="宋体"/>
          <w:b/>
          <w:color w:val="000000"/>
          <w:kern w:val="0"/>
          <w:sz w:val="24"/>
          <w:lang w:bidi="ar"/>
        </w:rPr>
        <w:t>目</w:t>
      </w:r>
      <w:r>
        <w:rPr>
          <w:rFonts w:hint="eastAsia"/>
          <w:b/>
          <w:bCs/>
          <w:color w:val="000000"/>
          <w:u w:color="000000"/>
          <w:lang w:val="zh-TW" w:eastAsia="zh-TW"/>
        </w:rPr>
        <w:t>决策指标及分值</w:t>
      </w:r>
    </w:p>
    <w:tbl>
      <w:tblPr>
        <w:tblStyle w:val="10"/>
        <w:tblW w:w="8447" w:type="dxa"/>
        <w:jc w:val="center"/>
        <w:tblLayout w:type="fixed"/>
        <w:tblCellMar>
          <w:top w:w="0" w:type="dxa"/>
          <w:left w:w="0" w:type="dxa"/>
          <w:bottom w:w="0" w:type="dxa"/>
          <w:right w:w="0" w:type="dxa"/>
        </w:tblCellMar>
      </w:tblPr>
      <w:tblGrid>
        <w:gridCol w:w="1077"/>
        <w:gridCol w:w="960"/>
        <w:gridCol w:w="1251"/>
        <w:gridCol w:w="794"/>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项目立项　</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25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4"/>
                <w:lang w:bidi="ar"/>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w:t>
            </w:r>
          </w:p>
        </w:tc>
      </w:tr>
      <w:tr>
        <w:tblPrEx>
          <w:tblCellMar>
            <w:top w:w="0" w:type="dxa"/>
            <w:left w:w="0" w:type="dxa"/>
            <w:bottom w:w="0" w:type="dxa"/>
            <w:right w:w="0" w:type="dxa"/>
          </w:tblCellMar>
        </w:tblPrEx>
        <w:trPr>
          <w:trHeight w:val="334" w:hRule="atLeast"/>
          <w:tblHeader/>
          <w:jc w:val="center"/>
        </w:trPr>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r>
    </w:tbl>
    <w:p>
      <w:pPr>
        <w:pStyle w:val="4"/>
        <w:ind w:firstLine="643"/>
      </w:pPr>
      <w:r>
        <w:rPr>
          <w:rFonts w:hint="eastAsia"/>
        </w:rPr>
        <w:t>（二）项目过程情况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过程</w:t>
      </w:r>
      <w:r>
        <w:rPr>
          <w:rFonts w:hint="eastAsia"/>
          <w:color w:val="000000"/>
          <w:u w:color="000000"/>
        </w:rPr>
        <w:t>管理</w:t>
      </w:r>
      <w:r>
        <w:rPr>
          <w:rFonts w:hint="eastAsia"/>
          <w:color w:val="000000"/>
          <w:u w:color="000000"/>
          <w:lang w:val="zh-TW" w:eastAsia="zh-TW"/>
        </w:rPr>
        <w:t>类指标由</w:t>
      </w:r>
      <w:r>
        <w:rPr>
          <w:rFonts w:hint="eastAsia"/>
          <w:color w:val="000000"/>
          <w:u w:color="000000"/>
        </w:rPr>
        <w:t>2</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5</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20</w:t>
      </w:r>
      <w:r>
        <w:rPr>
          <w:rFonts w:hint="eastAsia"/>
          <w:color w:val="000000"/>
          <w:u w:color="000000"/>
          <w:lang w:val="zh-TW" w:eastAsia="zh-TW"/>
        </w:rPr>
        <w:t>分，实际得分</w:t>
      </w:r>
      <w:r>
        <w:rPr>
          <w:rFonts w:hint="eastAsia"/>
          <w:color w:val="000000"/>
          <w:u w:color="000000"/>
        </w:rPr>
        <w:t>17.84</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2</w:t>
      </w:r>
      <w:r>
        <w:rPr>
          <w:rFonts w:hint="eastAsia"/>
          <w:color w:val="000000"/>
          <w:u w:color="000000"/>
          <w:lang w:val="zh-TW" w:eastAsia="zh-TW"/>
        </w:rPr>
        <w:t>所示：</w:t>
      </w:r>
    </w:p>
    <w:p>
      <w:pPr>
        <w:ind w:firstLine="562"/>
        <w:jc w:val="center"/>
        <w:rPr>
          <w:b/>
          <w:bCs/>
          <w:color w:val="000000"/>
          <w:u w:color="000000"/>
        </w:rPr>
      </w:pPr>
      <w:r>
        <w:rPr>
          <w:rFonts w:hint="eastAsia"/>
          <w:b/>
          <w:bCs/>
          <w:color w:val="000000"/>
          <w:u w:color="000000"/>
          <w:lang w:val="zh-TW" w:eastAsia="zh-TW"/>
        </w:rPr>
        <w:t>表</w:t>
      </w:r>
      <w:r>
        <w:rPr>
          <w:rFonts w:hint="eastAsia"/>
          <w:b/>
          <w:bCs/>
          <w:color w:val="000000"/>
          <w:u w:color="000000"/>
        </w:rPr>
        <w:t>4</w:t>
      </w:r>
      <w:r>
        <w:rPr>
          <w:b/>
          <w:bCs/>
          <w:color w:val="000000"/>
          <w:u w:color="000000"/>
        </w:rPr>
        <w:t>-</w:t>
      </w:r>
      <w:r>
        <w:rPr>
          <w:rFonts w:hint="eastAsia"/>
          <w:b/>
          <w:bCs/>
          <w:color w:val="000000"/>
          <w:u w:color="000000"/>
        </w:rPr>
        <w:t>2</w:t>
      </w:r>
      <w:r>
        <w:rPr>
          <w:rFonts w:hint="eastAsia"/>
          <w:b/>
          <w:bCs/>
          <w:color w:val="000000" w:themeColor="text1"/>
          <w14:textFill>
            <w14:solidFill>
              <w14:schemeClr w14:val="tx1"/>
            </w14:solidFill>
          </w14:textFill>
        </w:rPr>
        <w:t>全国基层科普行动计划</w:t>
      </w:r>
      <w:r>
        <w:rPr>
          <w:rFonts w:hint="eastAsia" w:ascii="宋体" w:hAnsi="宋体" w:eastAsia="宋体" w:cs="宋体"/>
          <w:b/>
          <w:bCs/>
          <w:color w:val="000000"/>
          <w:kern w:val="0"/>
          <w:sz w:val="24"/>
          <w:lang w:bidi="ar"/>
        </w:rPr>
        <w:t>项</w:t>
      </w:r>
      <w:r>
        <w:rPr>
          <w:rFonts w:hint="eastAsia" w:ascii="宋体" w:hAnsi="宋体" w:eastAsia="宋体" w:cs="宋体"/>
          <w:b/>
          <w:color w:val="000000"/>
          <w:kern w:val="0"/>
          <w:sz w:val="24"/>
          <w:lang w:bidi="ar"/>
        </w:rPr>
        <w:t>目</w:t>
      </w:r>
      <w:r>
        <w:rPr>
          <w:rFonts w:hint="eastAsia"/>
          <w:b/>
          <w:bCs/>
          <w:color w:val="000000"/>
          <w:u w:color="000000"/>
          <w:lang w:val="zh-TW"/>
        </w:rPr>
        <w:t>管理</w:t>
      </w:r>
      <w:r>
        <w:rPr>
          <w:rFonts w:hint="eastAsia"/>
          <w:b/>
          <w:bCs/>
          <w:color w:val="000000"/>
          <w:u w:color="000000"/>
          <w:lang w:val="zh-TW" w:eastAsia="zh-TW"/>
        </w:rPr>
        <w:t>指标及分值</w:t>
      </w:r>
      <w:r>
        <w:rPr>
          <w:rFonts w:hint="eastAsia"/>
          <w:b/>
          <w:bCs/>
          <w:color w:val="000000"/>
          <w:u w:color="000000"/>
        </w:rPr>
        <w:t>情况</w:t>
      </w:r>
    </w:p>
    <w:tbl>
      <w:tblPr>
        <w:tblStyle w:val="10"/>
        <w:tblW w:w="8317" w:type="dxa"/>
        <w:jc w:val="center"/>
        <w:tblLayout w:type="fixed"/>
        <w:tblCellMar>
          <w:top w:w="0" w:type="dxa"/>
          <w:left w:w="0" w:type="dxa"/>
          <w:bottom w:w="0" w:type="dxa"/>
          <w:right w:w="0" w:type="dxa"/>
        </w:tblCellMar>
      </w:tblPr>
      <w:tblGrid>
        <w:gridCol w:w="1182"/>
        <w:gridCol w:w="738"/>
        <w:gridCol w:w="1248"/>
        <w:gridCol w:w="1176"/>
        <w:gridCol w:w="1644"/>
        <w:gridCol w:w="1176"/>
        <w:gridCol w:w="1153"/>
      </w:tblGrid>
      <w:tr>
        <w:tblPrEx>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资金到位率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预算执行率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资金使用合规性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管理制度健全性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 w:val="22"/>
                <w:szCs w:val="22"/>
                <w:lang w:bidi="ar"/>
              </w:rPr>
              <w:t>制度执行有效性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left"/>
              <w:textAlignment w:val="center"/>
              <w:rPr>
                <w:rFonts w:asciiTheme="minorEastAsia" w:hAnsiTheme="minorEastAsia" w:eastAsiaTheme="minorEastAsia" w:cstheme="minorEastAsia"/>
                <w:color w:val="000000"/>
                <w:sz w:val="24"/>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napToGrid w:val="0"/>
              <w:spacing w:line="240" w:lineRule="auto"/>
              <w:ind w:firstLine="0" w:firstLineChars="0"/>
              <w:jc w:val="center"/>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17.84</w:t>
            </w:r>
          </w:p>
        </w:tc>
      </w:tr>
    </w:tbl>
    <w:p>
      <w:pPr>
        <w:pStyle w:val="4"/>
        <w:numPr>
          <w:ilvl w:val="0"/>
          <w:numId w:val="6"/>
        </w:numPr>
        <w:ind w:firstLine="643"/>
      </w:pPr>
      <w:r>
        <w:rPr>
          <w:rFonts w:hint="eastAsia"/>
        </w:rPr>
        <w:t>项目产出情况</w:t>
      </w:r>
    </w:p>
    <w:p>
      <w:pPr>
        <w:pStyle w:val="4"/>
        <w:numPr>
          <w:ilvl w:val="0"/>
          <w:numId w:val="6"/>
        </w:numPr>
        <w:ind w:firstLine="643"/>
      </w:pPr>
      <w:r>
        <w:rPr>
          <w:rFonts w:hint="eastAsia"/>
          <w:color w:val="000000"/>
          <w:u w:color="000000"/>
          <w:lang w:val="zh-TW" w:eastAsia="zh-TW"/>
        </w:rPr>
        <w:t>项目</w:t>
      </w:r>
      <w:r>
        <w:rPr>
          <w:rFonts w:hint="eastAsia" w:ascii="仿宋_GB2312"/>
        </w:rPr>
        <w:t>产出</w:t>
      </w:r>
      <w:r>
        <w:rPr>
          <w:rFonts w:hint="eastAsia"/>
          <w:color w:val="000000"/>
          <w:u w:color="000000"/>
          <w:lang w:val="zh-TW" w:eastAsia="zh-TW"/>
        </w:rPr>
        <w:t>类指标由</w:t>
      </w:r>
      <w:r>
        <w:rPr>
          <w:rFonts w:hint="eastAsia"/>
          <w:color w:val="000000"/>
          <w:u w:color="000000"/>
        </w:rPr>
        <w:t>4</w:t>
      </w:r>
      <w:r>
        <w:rPr>
          <w:rFonts w:hint="eastAsia"/>
          <w:color w:val="000000"/>
          <w:u w:color="000000"/>
          <w:lang w:val="zh-TW" w:eastAsia="zh-TW"/>
        </w:rPr>
        <w:t>个</w:t>
      </w:r>
      <w:r>
        <w:rPr>
          <w:rFonts w:hint="eastAsia"/>
          <w:color w:val="000000"/>
          <w:u w:color="000000"/>
          <w:lang w:val="zh-TW"/>
        </w:rPr>
        <w:t>二</w:t>
      </w:r>
      <w:r>
        <w:rPr>
          <w:rFonts w:hint="eastAsia"/>
          <w:color w:val="000000"/>
          <w:u w:color="000000"/>
          <w:lang w:val="zh-TW" w:eastAsia="zh-TW"/>
        </w:rPr>
        <w:t>级指标和</w:t>
      </w:r>
      <w:r>
        <w:rPr>
          <w:rFonts w:hint="eastAsia"/>
          <w:color w:val="000000"/>
          <w:u w:color="000000"/>
        </w:rPr>
        <w:t>19</w:t>
      </w:r>
      <w:r>
        <w:rPr>
          <w:rFonts w:hint="eastAsia"/>
          <w:color w:val="000000"/>
          <w:u w:color="000000"/>
          <w:lang w:val="zh-TW" w:eastAsia="zh-TW"/>
        </w:rPr>
        <w:t>个</w:t>
      </w:r>
      <w:r>
        <w:rPr>
          <w:rFonts w:hint="eastAsia"/>
          <w:color w:val="000000"/>
          <w:u w:color="000000"/>
        </w:rPr>
        <w:t>三</w:t>
      </w:r>
      <w:r>
        <w:rPr>
          <w:rFonts w:hint="eastAsia"/>
          <w:color w:val="000000"/>
          <w:u w:color="000000"/>
          <w:lang w:val="zh-TW" w:eastAsia="zh-TW"/>
        </w:rPr>
        <w:t>级指标构成，权重分</w:t>
      </w:r>
      <w:r>
        <w:rPr>
          <w:rFonts w:hint="eastAsia"/>
          <w:color w:val="000000"/>
          <w:u w:color="000000"/>
        </w:rPr>
        <w:t>30</w:t>
      </w:r>
      <w:r>
        <w:rPr>
          <w:rFonts w:hint="eastAsia"/>
          <w:color w:val="000000"/>
          <w:u w:color="000000"/>
          <w:lang w:val="zh-TW" w:eastAsia="zh-TW"/>
        </w:rPr>
        <w:t>分，实际得分</w:t>
      </w:r>
      <w:r>
        <w:rPr>
          <w:rFonts w:hint="eastAsia"/>
          <w:color w:val="000000"/>
          <w:u w:color="000000"/>
        </w:rPr>
        <w:t>26.67</w:t>
      </w:r>
      <w:r>
        <w:rPr>
          <w:rFonts w:hint="eastAsia"/>
          <w:color w:val="000000"/>
          <w:u w:color="000000"/>
          <w:lang w:val="zh-TW" w:eastAsia="zh-TW"/>
        </w:rPr>
        <w:t>分</w:t>
      </w:r>
      <w:r>
        <w:rPr>
          <w:rFonts w:hint="eastAsia"/>
        </w:rPr>
        <w:t>项目效益情况</w:t>
      </w:r>
    </w:p>
    <w:p>
      <w:pPr>
        <w:ind w:firstLine="560"/>
        <w:rPr>
          <w:color w:val="000000"/>
          <w:u w:color="000000"/>
          <w:lang w:val="zh-TW" w:eastAsia="zh-TW"/>
        </w:rPr>
      </w:pPr>
      <w:r>
        <w:rPr>
          <w:rFonts w:hint="eastAsia"/>
          <w:color w:val="000000"/>
          <w:u w:color="000000"/>
          <w:lang w:val="zh-TW" w:eastAsia="zh-TW"/>
        </w:rPr>
        <w:t>项目</w:t>
      </w:r>
      <w:r>
        <w:rPr>
          <w:rFonts w:hint="eastAsia" w:ascii="仿宋_GB2312"/>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color w:val="000000"/>
          <w:u w:color="000000"/>
        </w:rPr>
        <w:t>30</w:t>
      </w:r>
      <w:r>
        <w:rPr>
          <w:rFonts w:hint="eastAsia"/>
          <w:color w:val="000000"/>
          <w:u w:color="000000"/>
          <w:lang w:val="zh-TW" w:eastAsia="zh-TW"/>
        </w:rPr>
        <w:t>分，实际得</w:t>
      </w:r>
      <w:r>
        <w:rPr>
          <w:rFonts w:hint="eastAsia"/>
          <w:color w:val="000000"/>
          <w:u w:color="000000"/>
        </w:rPr>
        <w:t>28.75</w:t>
      </w:r>
      <w:r>
        <w:rPr>
          <w:rFonts w:hint="eastAsia"/>
          <w:color w:val="000000"/>
          <w:u w:color="000000"/>
          <w:lang w:val="zh-TW" w:eastAsia="zh-TW"/>
        </w:rPr>
        <w:t>分</w:t>
      </w:r>
      <w:r>
        <w:rPr>
          <w:rFonts w:hint="eastAsia"/>
          <w:color w:val="000000"/>
          <w:u w:color="000000"/>
          <w:lang w:val="zh-TW"/>
        </w:rPr>
        <w:t>，</w:t>
      </w:r>
      <w:r>
        <w:rPr>
          <w:rFonts w:hint="eastAsia"/>
          <w:color w:val="000000"/>
          <w:u w:color="000000"/>
          <w:lang w:val="zh-TW" w:eastAsia="zh-TW"/>
        </w:rPr>
        <w:t>各指标业绩值和绩效分值如表</w:t>
      </w:r>
      <w:r>
        <w:rPr>
          <w:rFonts w:hint="eastAsia"/>
          <w:color w:val="000000"/>
          <w:u w:color="000000"/>
        </w:rPr>
        <w:t>4</w:t>
      </w:r>
      <w:r>
        <w:rPr>
          <w:color w:val="000000"/>
          <w:u w:color="000000"/>
        </w:rPr>
        <w:t>-</w:t>
      </w:r>
      <w:r>
        <w:rPr>
          <w:rFonts w:hint="eastAsia"/>
          <w:color w:val="000000"/>
          <w:u w:color="000000"/>
        </w:rPr>
        <w:t>3</w:t>
      </w:r>
      <w:r>
        <w:rPr>
          <w:rFonts w:hint="eastAsia"/>
          <w:color w:val="000000"/>
          <w:u w:color="000000"/>
          <w:lang w:val="zh-TW" w:eastAsia="zh-TW"/>
        </w:rPr>
        <w:t>所示：</w:t>
      </w:r>
    </w:p>
    <w:p>
      <w:pPr>
        <w:keepNext/>
        <w:keepLines/>
        <w:ind w:firstLine="562"/>
        <w:jc w:val="center"/>
      </w:pPr>
      <w:r>
        <w:rPr>
          <w:rFonts w:hint="eastAsia" w:ascii="仿宋_GB2312" w:hAnsi="仿宋_GB2312" w:cs="仿宋_GB2312"/>
          <w:b/>
          <w:bCs/>
          <w:color w:val="000000"/>
          <w:u w:color="000000"/>
          <w:lang w:val="zh-TW" w:eastAsia="zh-TW"/>
        </w:rPr>
        <w:t>表</w:t>
      </w:r>
      <w:r>
        <w:rPr>
          <w:rFonts w:hint="eastAsia" w:ascii="仿宋_GB2312" w:hAnsi="仿宋_GB2312" w:cs="仿宋_GB2312"/>
          <w:b/>
          <w:bCs/>
          <w:color w:val="000000"/>
          <w:u w:color="000000"/>
        </w:rPr>
        <w:t>4-4</w:t>
      </w:r>
      <w:r>
        <w:rPr>
          <w:rFonts w:hint="eastAsia"/>
          <w:b/>
          <w:bCs/>
          <w:color w:val="000000" w:themeColor="text1"/>
          <w14:textFill>
            <w14:solidFill>
              <w14:schemeClr w14:val="tx1"/>
            </w14:solidFill>
          </w14:textFill>
        </w:rPr>
        <w:t>全国基层科普行动计划</w:t>
      </w:r>
      <w:r>
        <w:rPr>
          <w:rFonts w:hint="eastAsia" w:ascii="宋体" w:hAnsi="宋体" w:eastAsia="宋体" w:cs="宋体"/>
          <w:b/>
          <w:bCs/>
          <w:color w:val="000000"/>
          <w:kern w:val="0"/>
          <w:sz w:val="24"/>
          <w:lang w:bidi="ar"/>
        </w:rPr>
        <w:t>项</w:t>
      </w:r>
      <w:r>
        <w:rPr>
          <w:rFonts w:hint="eastAsia" w:ascii="宋体" w:hAnsi="宋体" w:eastAsia="宋体" w:cs="宋体"/>
          <w:b/>
          <w:color w:val="000000"/>
          <w:kern w:val="0"/>
          <w:sz w:val="24"/>
          <w:lang w:bidi="ar"/>
        </w:rPr>
        <w:t>目</w:t>
      </w:r>
      <w:r>
        <w:rPr>
          <w:rFonts w:hint="eastAsia" w:ascii="仿宋_GB2312" w:hAnsi="仿宋_GB2312" w:cs="仿宋_GB2312"/>
          <w:b/>
          <w:bCs/>
        </w:rPr>
        <w:t>效益</w:t>
      </w:r>
      <w:r>
        <w:rPr>
          <w:rFonts w:hint="eastAsia" w:ascii="仿宋_GB2312" w:hAnsi="仿宋_GB2312" w:cs="仿宋_GB2312"/>
          <w:b/>
          <w:bCs/>
          <w:color w:val="000000"/>
          <w:u w:color="000000"/>
          <w:lang w:val="zh-TW" w:eastAsia="zh-TW"/>
        </w:rPr>
        <w:t>指标及分值</w:t>
      </w:r>
      <w:r>
        <w:rPr>
          <w:rFonts w:hint="eastAsia" w:ascii="仿宋_GB2312" w:hAnsi="仿宋_GB2312" w:cs="仿宋_GB2312"/>
          <w:b/>
          <w:bCs/>
          <w:color w:val="000000"/>
          <w:u w:color="000000"/>
        </w:rPr>
        <w:t>情况</w:t>
      </w:r>
    </w:p>
    <w:tbl>
      <w:tblPr>
        <w:tblStyle w:val="10"/>
        <w:tblW w:w="9137" w:type="dxa"/>
        <w:tblInd w:w="0" w:type="dxa"/>
        <w:tblLayout w:type="fixed"/>
        <w:tblCellMar>
          <w:top w:w="0" w:type="dxa"/>
          <w:left w:w="0" w:type="dxa"/>
          <w:bottom w:w="0" w:type="dxa"/>
          <w:right w:w="0" w:type="dxa"/>
        </w:tblCellMar>
      </w:tblPr>
      <w:tblGrid>
        <w:gridCol w:w="838"/>
        <w:gridCol w:w="1116"/>
        <w:gridCol w:w="2898"/>
        <w:gridCol w:w="1367"/>
        <w:gridCol w:w="519"/>
        <w:gridCol w:w="1133"/>
        <w:gridCol w:w="566"/>
        <w:gridCol w:w="700"/>
      </w:tblGrid>
      <w:tr>
        <w:tblPrEx>
          <w:tblCellMar>
            <w:top w:w="0" w:type="dxa"/>
            <w:left w:w="0" w:type="dxa"/>
            <w:bottom w:w="0" w:type="dxa"/>
            <w:right w:w="0" w:type="dxa"/>
          </w:tblCellMar>
        </w:tblPrEx>
        <w:trPr>
          <w:trHeight w:val="23" w:hRule="atLeast"/>
        </w:trPr>
        <w:tc>
          <w:tcPr>
            <w:tcW w:w="83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二级指标</w:t>
            </w:r>
          </w:p>
        </w:tc>
        <w:tc>
          <w:tcPr>
            <w:tcW w:w="28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三级指标</w:t>
            </w:r>
          </w:p>
        </w:tc>
        <w:tc>
          <w:tcPr>
            <w:tcW w:w="13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年度指标值</w:t>
            </w:r>
          </w:p>
        </w:tc>
        <w:tc>
          <w:tcPr>
            <w:tcW w:w="5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标杆分值</w:t>
            </w:r>
          </w:p>
        </w:tc>
        <w:tc>
          <w:tcPr>
            <w:tcW w:w="113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全年实际完成值</w:t>
            </w:r>
          </w:p>
        </w:tc>
        <w:tc>
          <w:tcPr>
            <w:tcW w:w="56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指标得分</w:t>
            </w:r>
          </w:p>
        </w:tc>
        <w:tc>
          <w:tcPr>
            <w:tcW w:w="7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kern w:val="0"/>
                <w:sz w:val="24"/>
                <w:lang w:bidi="ar"/>
              </w:rPr>
              <w:t>备注</w:t>
            </w:r>
          </w:p>
        </w:tc>
      </w:tr>
      <w:tr>
        <w:tblPrEx>
          <w:tblCellMar>
            <w:top w:w="0" w:type="dxa"/>
            <w:left w:w="0" w:type="dxa"/>
            <w:bottom w:w="0" w:type="dxa"/>
            <w:right w:w="0" w:type="dxa"/>
          </w:tblCellMar>
        </w:tblPrEx>
        <w:trPr>
          <w:trHeight w:val="23" w:hRule="atLeast"/>
        </w:trPr>
        <w:tc>
          <w:tcPr>
            <w:tcW w:w="838"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效益</w:t>
            </w:r>
          </w:p>
        </w:tc>
        <w:tc>
          <w:tcPr>
            <w:tcW w:w="111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kern w:val="0"/>
                <w:sz w:val="21"/>
                <w:szCs w:val="21"/>
                <w:lang w:bidi="ar"/>
              </w:rPr>
              <w:t>社会效益指标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提高全民科学素质</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有效提升</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111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科普实用技术培训交流知晓率（%）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4.75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111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科普E站宣传知晓率（%）</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kern w:val="0"/>
                <w:sz w:val="21"/>
                <w:szCs w:val="21"/>
                <w:lang w:bidi="ar"/>
              </w:rPr>
              <w:t>可持续影响指标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提高科普宣传力度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持续提高</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90%</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CellMar>
            <w:top w:w="0" w:type="dxa"/>
            <w:left w:w="0" w:type="dxa"/>
            <w:bottom w:w="0" w:type="dxa"/>
            <w:right w:w="0" w:type="dxa"/>
          </w:tblCellMar>
        </w:tblPrEx>
        <w:trPr>
          <w:trHeight w:val="23" w:hRule="atLeast"/>
        </w:trPr>
        <w:tc>
          <w:tcPr>
            <w:tcW w:w="83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1116"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满意度指标</w:t>
            </w:r>
          </w:p>
        </w:tc>
        <w:tc>
          <w:tcPr>
            <w:tcW w:w="2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基层科普行动计划受益群众满意度（%）</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r>
        <w:tblPrEx>
          <w:tblCellMar>
            <w:top w:w="0" w:type="dxa"/>
            <w:left w:w="0" w:type="dxa"/>
            <w:bottom w:w="0" w:type="dxa"/>
            <w:right w:w="0" w:type="dxa"/>
          </w:tblCellMar>
        </w:tblPrEx>
        <w:trPr>
          <w:trHeight w:val="23" w:hRule="atLeast"/>
        </w:trPr>
        <w:tc>
          <w:tcPr>
            <w:tcW w:w="62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合计</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30</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28.75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rPr>
                <w:rFonts w:asciiTheme="minorEastAsia" w:hAnsiTheme="minorEastAsia" w:eastAsiaTheme="minorEastAsia" w:cstheme="minorEastAsia"/>
                <w:color w:val="000000"/>
                <w:sz w:val="21"/>
                <w:szCs w:val="21"/>
              </w:rPr>
            </w:pPr>
          </w:p>
        </w:tc>
      </w:tr>
    </w:tbl>
    <w:p>
      <w:pPr>
        <w:pStyle w:val="3"/>
        <w:ind w:firstLine="640"/>
      </w:pPr>
      <w:r>
        <w:rPr>
          <w:rFonts w:hint="eastAsia"/>
        </w:rPr>
        <w:t>五、主要经验及做法、存在的问题及原因分析</w:t>
      </w:r>
    </w:p>
    <w:p>
      <w:pPr>
        <w:pStyle w:val="4"/>
        <w:numPr>
          <w:ilvl w:val="0"/>
          <w:numId w:val="8"/>
        </w:numPr>
        <w:ind w:firstLine="643"/>
      </w:pPr>
      <w:bookmarkStart w:id="12" w:name="_Toc28290"/>
      <w:bookmarkStart w:id="13" w:name="_Toc1921"/>
      <w:r>
        <w:rPr>
          <w:rFonts w:hint="eastAsia"/>
        </w:rPr>
        <w:t>主要经验及做法</w:t>
      </w:r>
    </w:p>
    <w:p>
      <w:pPr>
        <w:tabs>
          <w:tab w:val="left" w:pos="1337"/>
        </w:tabs>
        <w:ind w:firstLine="560"/>
      </w:pPr>
      <w:r>
        <w:rPr>
          <w:rFonts w:hint="eastAsia"/>
        </w:rPr>
        <w:t>一是领导重视，，充分发动，实施“基层科普行动计划”是贯彻党的十八大精神，落实《全民科学素质行动计划纲要》，提高基层群众科学素质，促进依靠科技转变经济发展方式、助力社会和谐发展的重要举措由科协主席任组长，多次带队到基层实地调研、检查指导，通过召开座谈会，汇报会等形工，了解基地、社区基本情况。</w:t>
      </w:r>
    </w:p>
    <w:p>
      <w:pPr>
        <w:ind w:firstLine="560"/>
      </w:pPr>
      <w:r>
        <w:rPr>
          <w:rFonts w:hint="eastAsia"/>
        </w:rPr>
        <w:t>二是认识组织、规范评审。为切实通过“基层科普行动计划”的实施，达到在全区表彰有突出贡献的基层科普工作先进集体、组织、个人，引导推动基地、社区、发展的目是。</w:t>
      </w:r>
    </w:p>
    <w:p>
      <w:pPr>
        <w:ind w:firstLine="560"/>
      </w:pPr>
      <w:r>
        <w:rPr>
          <w:rFonts w:hint="eastAsia"/>
        </w:rPr>
        <w:t>三是加大宣传力度，使用权“基层科普行动计划”影响不断扩大，利用平强向社会和广大农民群众宣传达室“科普惠农兴村计划”先进事迹和经验做法。</w:t>
      </w:r>
      <w:bookmarkEnd w:id="12"/>
      <w:bookmarkEnd w:id="13"/>
    </w:p>
    <w:p>
      <w:pPr>
        <w:pStyle w:val="4"/>
        <w:numPr>
          <w:ilvl w:val="0"/>
          <w:numId w:val="8"/>
        </w:numPr>
        <w:ind w:firstLine="643"/>
      </w:pPr>
      <w:r>
        <w:rPr>
          <w:rFonts w:hint="eastAsia"/>
        </w:rPr>
        <w:t>存在的问题及原因分析</w:t>
      </w:r>
    </w:p>
    <w:p>
      <w:pPr>
        <w:spacing w:line="600" w:lineRule="exact"/>
        <w:ind w:firstLine="544"/>
        <w:rPr>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基层科普行动计划项目资金预算执行率44.6%，因其预算指标下达至本单位较晚，影响年初预算资金支付计划，项目资金剩余部分结转至下年度使用。结合科学技术工作实际，全区科技工作者数量占比效少，科普引领基层工和发挥效果不显著，科普宣传力度有待进一步提升，基层科普计划从数量到质量的转化不明显，科普受益群众满意度不高，达90%。</w:t>
      </w:r>
    </w:p>
    <w:p>
      <w:pPr>
        <w:pStyle w:val="3"/>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六、有关建议</w:t>
      </w:r>
    </w:p>
    <w:p>
      <w:pPr>
        <w:ind w:firstLine="544"/>
        <w:rPr>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基层科普行动计划是提升全民科学素质的重要举措，科普惠农兴村计划基础上的进一步延伸。无论是在资助的范围、数量还是力度方面都持续增加。然而在实施与推广中仍存在宣传不到位、申报资料不齐全、资金使用用平均化以及利用程度低的问题。</w:t>
      </w:r>
    </w:p>
    <w:p>
      <w:pPr>
        <w:pStyle w:val="3"/>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七、其他需要说明的问题</w:t>
      </w:r>
    </w:p>
    <w:p>
      <w:pPr>
        <w:ind w:firstLine="544"/>
        <w:rPr>
          <w:strike/>
          <w:color w:val="000000" w:themeColor="text1"/>
          <w:spacing w:val="-4"/>
          <w:szCs w:val="32"/>
          <w14:textFill>
            <w14:solidFill>
              <w14:schemeClr w14:val="tx1"/>
            </w14:solidFill>
          </w14:textFill>
        </w:rPr>
      </w:pPr>
      <w:r>
        <w:rPr>
          <w:rFonts w:hint="eastAsia"/>
          <w:color w:val="000000" w:themeColor="text1"/>
          <w:spacing w:val="-4"/>
          <w:szCs w:val="32"/>
          <w14:textFill>
            <w14:solidFill>
              <w14:schemeClr w14:val="tx1"/>
            </w14:solidFill>
          </w14:textFill>
        </w:rPr>
        <w:t>无其他说明内容。</w:t>
      </w:r>
    </w:p>
    <w:p>
      <w:pPr>
        <w:ind w:firstLine="560"/>
        <w:rPr>
          <w:color w:val="000000" w:themeColor="text1"/>
          <w14:textFill>
            <w14:solidFill>
              <w14:schemeClr w14:val="tx1"/>
            </w14:solidFill>
          </w14:textFill>
        </w:rPr>
      </w:pPr>
      <w:bookmarkStart w:id="14" w:name="_GoBack"/>
      <w:bookmarkEnd w:id="14"/>
    </w:p>
    <w:sectPr>
      <w:footerReference r:id="rId9" w:type="default"/>
      <w:pgSz w:w="16838" w:h="11906" w:orient="landscape"/>
      <w:pgMar w:top="1531" w:right="1928" w:bottom="1531" w:left="170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2E81EF"/>
    <w:multiLevelType w:val="singleLevel"/>
    <w:tmpl w:val="812E81EF"/>
    <w:lvl w:ilvl="0" w:tentative="0">
      <w:start w:val="1"/>
      <w:numFmt w:val="chineseCounting"/>
      <w:suff w:val="nothing"/>
      <w:lvlText w:val="%1、"/>
      <w:lvlJc w:val="left"/>
      <w:rPr>
        <w:rFonts w:hint="eastAsia"/>
      </w:rPr>
    </w:lvl>
  </w:abstractNum>
  <w:abstractNum w:abstractNumId="1">
    <w:nsid w:val="826C92B9"/>
    <w:multiLevelType w:val="singleLevel"/>
    <w:tmpl w:val="826C92B9"/>
    <w:lvl w:ilvl="0" w:tentative="0">
      <w:start w:val="2"/>
      <w:numFmt w:val="chineseCounting"/>
      <w:suff w:val="nothing"/>
      <w:lvlText w:val="（%1）"/>
      <w:lvlJc w:val="left"/>
      <w:rPr>
        <w:rFonts w:hint="eastAsia"/>
      </w:r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D5637710"/>
    <w:multiLevelType w:val="singleLevel"/>
    <w:tmpl w:val="D5637710"/>
    <w:lvl w:ilvl="0" w:tentative="0">
      <w:start w:val="2"/>
      <w:numFmt w:val="decimal"/>
      <w:suff w:val="nothing"/>
      <w:lvlText w:val="（%1）"/>
      <w:lvlJc w:val="left"/>
    </w:lvl>
  </w:abstractNum>
  <w:abstractNum w:abstractNumId="4">
    <w:nsid w:val="F8E64B2D"/>
    <w:multiLevelType w:val="singleLevel"/>
    <w:tmpl w:val="F8E64B2D"/>
    <w:lvl w:ilvl="0" w:tentative="0">
      <w:start w:val="3"/>
      <w:numFmt w:val="chineseCounting"/>
      <w:suff w:val="nothing"/>
      <w:lvlText w:val="%1、"/>
      <w:lvlJc w:val="left"/>
      <w:rPr>
        <w:rFonts w:hint="eastAsia"/>
      </w:r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1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0"/>
  </w:num>
  <w:num w:numId="3">
    <w:abstractNumId w:val="3"/>
  </w:num>
  <w:num w:numId="4">
    <w:abstractNumId w:val="1"/>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D18FD"/>
    <w:rsid w:val="006C64C9"/>
    <w:rsid w:val="0075294E"/>
    <w:rsid w:val="009B5A6C"/>
    <w:rsid w:val="009B5CF5"/>
    <w:rsid w:val="00A573D4"/>
    <w:rsid w:val="00D20B20"/>
    <w:rsid w:val="00E45A7A"/>
    <w:rsid w:val="01CA19FD"/>
    <w:rsid w:val="092205E7"/>
    <w:rsid w:val="0CE57393"/>
    <w:rsid w:val="0D4000A7"/>
    <w:rsid w:val="0FF62C78"/>
    <w:rsid w:val="12F1313F"/>
    <w:rsid w:val="245E1E24"/>
    <w:rsid w:val="272A2D2C"/>
    <w:rsid w:val="2C103347"/>
    <w:rsid w:val="2D234029"/>
    <w:rsid w:val="2E483E7E"/>
    <w:rsid w:val="2F3E1A01"/>
    <w:rsid w:val="2F9826FB"/>
    <w:rsid w:val="319337BA"/>
    <w:rsid w:val="332F7DDD"/>
    <w:rsid w:val="33944516"/>
    <w:rsid w:val="34A137E5"/>
    <w:rsid w:val="36185B49"/>
    <w:rsid w:val="366450E4"/>
    <w:rsid w:val="39B13DAD"/>
    <w:rsid w:val="42FE3854"/>
    <w:rsid w:val="47AB17A4"/>
    <w:rsid w:val="4F733A2D"/>
    <w:rsid w:val="503D636D"/>
    <w:rsid w:val="562F5FCC"/>
    <w:rsid w:val="589C0CD0"/>
    <w:rsid w:val="5D87634F"/>
    <w:rsid w:val="5F7164FB"/>
    <w:rsid w:val="60937F5E"/>
    <w:rsid w:val="61EA3381"/>
    <w:rsid w:val="636D1879"/>
    <w:rsid w:val="68291A1A"/>
    <w:rsid w:val="691B1594"/>
    <w:rsid w:val="6F0D6C22"/>
    <w:rsid w:val="74E34823"/>
    <w:rsid w:val="751E3389"/>
    <w:rsid w:val="76D2301A"/>
    <w:rsid w:val="77861774"/>
    <w:rsid w:val="79300B45"/>
    <w:rsid w:val="79A17504"/>
    <w:rsid w:val="7DCF3BCD"/>
    <w:rsid w:val="7E354538"/>
    <w:rsid w:val="7E61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qFormat/>
    <w:uiPriority w:val="0"/>
    <w:pPr>
      <w:jc w:val="left"/>
    </w:pPr>
  </w:style>
  <w:style w:type="paragraph" w:styleId="6">
    <w:name w:val="Balloon Text"/>
    <w:basedOn w:val="1"/>
    <w:link w:val="16"/>
    <w:qFormat/>
    <w:uiPriority w:val="0"/>
    <w:pPr>
      <w:spacing w:line="240" w:lineRule="auto"/>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subject"/>
    <w:basedOn w:val="5"/>
    <w:next w:val="5"/>
    <w:link w:val="18"/>
    <w:qFormat/>
    <w:uiPriority w:val="0"/>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5">
    <w:name w:val="标题2"/>
    <w:basedOn w:val="4"/>
    <w:qFormat/>
    <w:uiPriority w:val="0"/>
    <w:pPr>
      <w:numPr>
        <w:ilvl w:val="0"/>
        <w:numId w:val="1"/>
      </w:numPr>
      <w:spacing w:before="120" w:after="120" w:line="500" w:lineRule="exact"/>
    </w:pPr>
    <w:rPr>
      <w:rFonts w:ascii="仿宋_GB2312" w:eastAsia="仿宋_GB2312"/>
    </w:rPr>
  </w:style>
  <w:style w:type="character" w:customStyle="1" w:styleId="16">
    <w:name w:val="批注框文本 Char"/>
    <w:basedOn w:val="12"/>
    <w:link w:val="6"/>
    <w:qFormat/>
    <w:uiPriority w:val="0"/>
    <w:rPr>
      <w:rFonts w:eastAsia="仿宋_GB2312"/>
      <w:kern w:val="2"/>
      <w:sz w:val="18"/>
      <w:szCs w:val="18"/>
    </w:rPr>
  </w:style>
  <w:style w:type="character" w:customStyle="1" w:styleId="17">
    <w:name w:val="批注文字 Char"/>
    <w:basedOn w:val="12"/>
    <w:link w:val="5"/>
    <w:qFormat/>
    <w:uiPriority w:val="0"/>
    <w:rPr>
      <w:rFonts w:eastAsia="仿宋_GB2312"/>
      <w:kern w:val="2"/>
      <w:sz w:val="28"/>
      <w:szCs w:val="24"/>
    </w:rPr>
  </w:style>
  <w:style w:type="character" w:customStyle="1" w:styleId="18">
    <w:name w:val="批注主题 Char"/>
    <w:basedOn w:val="17"/>
    <w:link w:val="9"/>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A1DC4C-5495-442B-8071-4A00833EF491}">
  <ds:schemaRefs/>
</ds:datastoreItem>
</file>

<file path=docProps/app.xml><?xml version="1.0" encoding="utf-8"?>
<Properties xmlns="http://schemas.openxmlformats.org/officeDocument/2006/extended-properties" xmlns:vt="http://schemas.openxmlformats.org/officeDocument/2006/docPropsVTypes">
  <Template>Normal</Template>
  <Company>电脑维修 数据恢复</Company>
  <Pages>1</Pages>
  <Words>1987</Words>
  <Characters>11330</Characters>
  <Lines>94</Lines>
  <Paragraphs>26</Paragraphs>
  <TotalTime>15</TotalTime>
  <ScaleCrop>false</ScaleCrop>
  <LinksUpToDate>false</LinksUpToDate>
  <CharactersWithSpaces>13291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F-pc</cp:lastModifiedBy>
  <cp:lastPrinted>2020-05-16T07:37:00Z</cp:lastPrinted>
  <dcterms:modified xsi:type="dcterms:W3CDTF">2020-10-28T10:55:50Z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