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地区财政局购置预算绩效管理信息系统建设项目支出绩效评价报告</w:t>
      </w:r>
    </w:p>
    <w:p>
      <w:pPr>
        <w:spacing w:line="240" w:lineRule="atLeast"/>
        <w:jc w:val="center"/>
        <w:rPr>
          <w:rFonts w:ascii="宋体" w:hAnsi="宋体" w:eastAsia="宋体" w:cs="Arial"/>
          <w:b/>
          <w:bCs/>
          <w:sz w:val="36"/>
          <w:szCs w:val="36"/>
        </w:rPr>
      </w:pPr>
      <w:bookmarkStart w:id="14" w:name="_GoBack"/>
      <w:bookmarkEnd w:id="14"/>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项目名称：地区财政局购置预算绩效管理信息系统建设项目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实施单位：和田地区财政局</w:t>
      </w:r>
    </w:p>
    <w:p>
      <w:pPr>
        <w:spacing w:line="360" w:lineRule="auto"/>
        <w:ind w:firstLine="602"/>
        <w:rPr>
          <w:rFonts w:ascii="黑体" w:eastAsia="黑体"/>
          <w:b/>
          <w:color w:val="000000"/>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主管部门：行政政法科</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地区财政局购置预算绩效管理信息系统建设项目支出绩效评价报告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为确保七县一市及本级的预算绩效工作的高效开展，各县市单位填报的预算绩效项目科学性、规范性、合理性，需要上线预算绩效管理信息系统。</w:t>
      </w:r>
    </w:p>
    <w:p>
      <w:pPr>
        <w:pStyle w:val="2"/>
        <w:ind w:firstLine="562"/>
      </w:pPr>
      <w:r>
        <w:rPr>
          <w:rFonts w:hint="eastAsia"/>
        </w:rPr>
        <w:t>2.项目实施主体</w:t>
      </w:r>
    </w:p>
    <w:p>
      <w:pPr>
        <w:ind w:firstLine="560"/>
      </w:pPr>
      <w:r>
        <w:rPr>
          <w:rFonts w:hint="eastAsia"/>
        </w:rPr>
        <w:t>和田地区财政局无下属预算单位，下设17个处室，分别是：办公室、综合业务科、预算科、政府债务管理科、国库科、科教和文化科、行政政法科、经济建设科、农业农村科、社会保障科、资产监督管理科、会计科、金融工作科、扶贫资金管理科、政府采购管理科、财政内控监督科、人事科。</w:t>
      </w:r>
    </w:p>
    <w:p>
      <w:pPr>
        <w:pStyle w:val="2"/>
        <w:ind w:firstLine="562"/>
      </w:pPr>
      <w:r>
        <w:rPr>
          <w:rFonts w:hint="eastAsia"/>
        </w:rPr>
        <w:t>3.项目组织结构</w:t>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ind w:firstLine="560"/>
        <w:rPr>
          <w:color w:val="FF0000"/>
        </w:rPr>
      </w:pPr>
      <w:r>
        <w:rPr>
          <w:rFonts w:hint="eastAsia"/>
          <w:color w:val="000000"/>
        </w:rPr>
        <w:t>购置预算绩效管理信息系统建设</w:t>
      </w:r>
      <w:r>
        <w:rPr>
          <w:rFonts w:hint="eastAsia"/>
        </w:rPr>
        <w:t>项目，主要是为了七县一市一本级的预算绩效工作的有效开展。预算绩效系统包括绩效目标管理、绩效事前评估管理、绩效运行监控管理、绩效评价及结果应用管理以及部门整体绩效管理，2019年6月3日正式上线运行。</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地区财政局购置预算绩效管理信息系统建设项目</w:t>
      </w:r>
      <w:r>
        <w:t>预算安排总额为</w:t>
      </w:r>
      <w:r>
        <w:rPr>
          <w:rFonts w:hint="eastAsia"/>
        </w:rPr>
        <w:t>236</w:t>
      </w:r>
      <w:r>
        <w:t>万元，其中财政资金</w:t>
      </w:r>
      <w:r>
        <w:rPr>
          <w:rFonts w:hint="eastAsia"/>
        </w:rPr>
        <w:t>236</w:t>
      </w:r>
      <w:r>
        <w:t>万元，其他资金</w:t>
      </w:r>
      <w:r>
        <w:rPr>
          <w:rFonts w:hint="eastAsia"/>
        </w:rPr>
        <w:t>0</w:t>
      </w:r>
      <w:r>
        <w:t>万元，2019年实际收到预算资金</w:t>
      </w:r>
      <w:r>
        <w:rPr>
          <w:rFonts w:hint="eastAsia"/>
        </w:rPr>
        <w:t>94.4</w:t>
      </w:r>
      <w:r>
        <w:t>万元，预算资金到位率为</w:t>
      </w:r>
      <w:r>
        <w:rPr>
          <w:rFonts w:hint="eastAsia"/>
        </w:rPr>
        <w:t>40</w:t>
      </w:r>
      <w: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本项目实际支付资金94.4万元，预算执行率40.00</w:t>
      </w:r>
      <w:r>
        <w:t>%</w:t>
      </w:r>
      <w:r>
        <w:rPr>
          <w:rFonts w:hint="eastAsia"/>
        </w:rPr>
        <w:t>。项目资金主要用于支付预算绩效管理信息系统费用94.4万元。</w:t>
      </w:r>
    </w:p>
    <w:p>
      <w:pPr>
        <w:pStyle w:val="4"/>
        <w:numPr>
          <w:ilvl w:val="0"/>
          <w:numId w:val="3"/>
        </w:numPr>
        <w:ind w:firstLine="643"/>
      </w:pPr>
      <w:r>
        <w:rPr>
          <w:rFonts w:hint="eastAsia"/>
        </w:rPr>
        <w:t>项目绩效目标</w:t>
      </w:r>
    </w:p>
    <w:p>
      <w:pPr>
        <w:pStyle w:val="2"/>
        <w:ind w:firstLine="562"/>
      </w:pPr>
      <w:r>
        <w:rPr>
          <w:rFonts w:hint="eastAsia"/>
        </w:rPr>
        <w:t>1.总体目标</w:t>
      </w:r>
    </w:p>
    <w:p>
      <w:pPr>
        <w:ind w:firstLine="560"/>
      </w:pPr>
      <w:r>
        <w:rPr>
          <w:rFonts w:hint="eastAsia"/>
        </w:rPr>
        <w:t>为了更好的完成预算绩效工作，本年预计购置1套预算绩效管理信息系统，开展服务区域9个，其中计划开展绩效目标管理模块、绩效事前评估管理模块、绩效运行监控管理模块、绩效评价及结果应用管理模块各1个，保证系统故障率不高于3%，基础问题解决时间期限控制在24小时以内，BUG问题解决时间期限控制在48小时以内。以此来提高工作效率，保障绩效工作的规范性，并保证财务部门满意度达到95%以上。</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相关文件</w:t>
      </w:r>
      <w:r>
        <w:rPr>
          <w:rFonts w:hint="eastAsia" w:hAnsi="Arial" w:cs="宋体"/>
          <w:bCs/>
          <w:color w:val="000000"/>
        </w:rPr>
        <w:t>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“服务区域（个）”指标，预期指标值为9；</w:t>
      </w:r>
    </w:p>
    <w:p>
      <w:pPr>
        <w:ind w:firstLine="560"/>
      </w:pPr>
      <w:r>
        <w:rPr>
          <w:rFonts w:hint="eastAsia"/>
        </w:rPr>
        <w:t>“预算绩效管理信息系统（个）”指标，预期指标值为1；</w:t>
      </w:r>
    </w:p>
    <w:p>
      <w:pPr>
        <w:ind w:firstLine="560"/>
      </w:pPr>
      <w:r>
        <w:rPr>
          <w:rFonts w:hint="eastAsia"/>
        </w:rPr>
        <w:t>“绩效目标管理模块（个）”指标，预期指标值为1；</w:t>
      </w:r>
    </w:p>
    <w:p>
      <w:pPr>
        <w:ind w:firstLine="560"/>
      </w:pPr>
      <w:r>
        <w:rPr>
          <w:rFonts w:hint="eastAsia"/>
        </w:rPr>
        <w:t>“绩效事前评估管理模块（个）”指标，预期指标值为1；</w:t>
      </w:r>
    </w:p>
    <w:p>
      <w:pPr>
        <w:ind w:firstLine="560"/>
      </w:pPr>
      <w:r>
        <w:rPr>
          <w:rFonts w:hint="eastAsia"/>
        </w:rPr>
        <w:t>“绩效运行监控管理模块（个）”指标，预期指标值为1；</w:t>
      </w:r>
    </w:p>
    <w:p>
      <w:pPr>
        <w:ind w:firstLine="560"/>
      </w:pPr>
      <w:r>
        <w:rPr>
          <w:rFonts w:hint="eastAsia"/>
        </w:rPr>
        <w:t>“绩效评价及结果应用管理模块（个）”指标，预期指标值为1。</w:t>
      </w:r>
    </w:p>
    <w:p>
      <w:pPr>
        <w:ind w:firstLine="560"/>
      </w:pPr>
      <w:r>
        <w:rPr>
          <w:rFonts w:hint="eastAsia"/>
        </w:rPr>
        <w:t>②质量指标</w:t>
      </w:r>
    </w:p>
    <w:p>
      <w:pPr>
        <w:ind w:firstLine="560"/>
        <w:rPr>
          <w:rFonts w:hint="eastAsia"/>
        </w:rPr>
      </w:pPr>
      <w:r>
        <w:rPr>
          <w:rFonts w:hint="eastAsia"/>
        </w:rPr>
        <w:t>“系统验收合格率（%）”指标，预期指标值为≥95%；</w:t>
      </w:r>
    </w:p>
    <w:p>
      <w:pPr>
        <w:ind w:firstLine="560"/>
      </w:pPr>
      <w:r>
        <w:rPr>
          <w:rFonts w:hint="eastAsia"/>
        </w:rPr>
        <w:t>“绩效系统覆盖率（%）”指标，预期指标值为≥95%；</w:t>
      </w:r>
    </w:p>
    <w:p>
      <w:pPr>
        <w:ind w:firstLine="560"/>
      </w:pPr>
      <w:r>
        <w:rPr>
          <w:rFonts w:hint="eastAsia"/>
        </w:rPr>
        <w:t>“系统故障率（%）”指标，预期指标值为≤3%。</w:t>
      </w:r>
    </w:p>
    <w:p>
      <w:pPr>
        <w:ind w:firstLine="560"/>
      </w:pPr>
      <w:r>
        <w:rPr>
          <w:rFonts w:hint="eastAsia"/>
        </w:rPr>
        <w:t>③时效指标</w:t>
      </w:r>
    </w:p>
    <w:p>
      <w:pPr>
        <w:ind w:firstLine="560"/>
        <w:rPr>
          <w:rFonts w:hint="eastAsia"/>
        </w:rPr>
      </w:pPr>
      <w:r>
        <w:rPr>
          <w:rFonts w:hint="eastAsia"/>
        </w:rPr>
        <w:t>“资金支付及时率（%）”指标，预期指标值为≥95%；</w:t>
      </w:r>
    </w:p>
    <w:p>
      <w:pPr>
        <w:ind w:firstLine="560"/>
      </w:pPr>
      <w:r>
        <w:rPr>
          <w:rFonts w:hint="eastAsia"/>
        </w:rPr>
        <w:t>“正式上线时间”指标，预期指标值为2019年6月3</w:t>
      </w:r>
      <w:r>
        <w:rPr>
          <w:rFonts w:hint="eastAsia"/>
          <w:lang w:val="en-US" w:eastAsia="zh-CN"/>
        </w:rPr>
        <w:t>0</w:t>
      </w:r>
      <w:r>
        <w:rPr>
          <w:rFonts w:hint="eastAsia"/>
        </w:rPr>
        <w:t>日前；</w:t>
      </w:r>
    </w:p>
    <w:p>
      <w:pPr>
        <w:ind w:firstLine="560"/>
      </w:pPr>
      <w:r>
        <w:rPr>
          <w:rFonts w:hint="eastAsia"/>
        </w:rPr>
        <w:t>“服务期限（年）”指标，预期指标值为1；</w:t>
      </w:r>
    </w:p>
    <w:p>
      <w:pPr>
        <w:ind w:firstLine="560"/>
      </w:pPr>
      <w:r>
        <w:rPr>
          <w:rFonts w:hint="eastAsia"/>
        </w:rPr>
        <w:t>“基础问题解决时间期限（小时）”指标，预期指标值为≤24；</w:t>
      </w:r>
    </w:p>
    <w:p>
      <w:pPr>
        <w:ind w:firstLine="560"/>
      </w:pPr>
      <w:r>
        <w:rPr>
          <w:rFonts w:hint="eastAsia"/>
        </w:rPr>
        <w:t>“BUG问题解决时间期限（小时）”指标，预期指标值为≤48。</w:t>
      </w:r>
    </w:p>
    <w:p>
      <w:pPr>
        <w:ind w:firstLine="560"/>
      </w:pPr>
      <w:r>
        <w:rPr>
          <w:rFonts w:hint="eastAsia"/>
        </w:rPr>
        <w:t>④成本指标</w:t>
      </w:r>
    </w:p>
    <w:p>
      <w:pPr>
        <w:ind w:firstLine="560"/>
      </w:pPr>
      <w:r>
        <w:rPr>
          <w:rFonts w:hint="eastAsia"/>
        </w:rPr>
        <w:t xml:space="preserve"> “服务费用（万元）”指标，预期指标值为≤236。</w:t>
      </w:r>
    </w:p>
    <w:p>
      <w:pPr>
        <w:ind w:firstLine="560"/>
      </w:pPr>
      <w:r>
        <w:rPr>
          <w:rFonts w:hint="eastAsia"/>
        </w:rPr>
        <w:t>（2）项目效益目标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“提高工作效率”指标，预期指标值为有效提高；</w:t>
      </w:r>
    </w:p>
    <w:p>
      <w:pPr>
        <w:ind w:firstLine="560"/>
      </w:pPr>
      <w:r>
        <w:rPr>
          <w:rFonts w:hint="eastAsia"/>
        </w:rPr>
        <w:t>“公共服务水平提升情况”指标，预期指标值为有效提高。</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“系统综合利用率（%）”指标，预期指标值为≥95%；</w:t>
      </w:r>
    </w:p>
    <w:p>
      <w:pPr>
        <w:ind w:firstLine="560"/>
      </w:pPr>
      <w:r>
        <w:rPr>
          <w:rFonts w:hint="eastAsia"/>
        </w:rPr>
        <w:t>“保障绩效工作规范化”指标，预期指标值为长期。</w:t>
      </w:r>
    </w:p>
    <w:p>
      <w:pPr>
        <w:ind w:firstLine="560"/>
      </w:pPr>
      <w:r>
        <w:rPr>
          <w:rFonts w:hint="eastAsia"/>
        </w:rPr>
        <w:t>（3）相关满意度目标</w:t>
      </w:r>
    </w:p>
    <w:p>
      <w:pPr>
        <w:ind w:firstLine="560"/>
      </w:pPr>
      <w:r>
        <w:rPr>
          <w:rFonts w:hint="eastAsia"/>
        </w:rPr>
        <w:t>①满意度指标</w:t>
      </w:r>
    </w:p>
    <w:p>
      <w:pPr>
        <w:ind w:firstLine="560"/>
      </w:pPr>
      <w:r>
        <w:rPr>
          <w:rFonts w:hint="eastAsia"/>
        </w:rPr>
        <w:t>“财政部门满意度（%）”指标，预期指标值为≥95%；</w:t>
      </w:r>
    </w:p>
    <w:p>
      <w:pPr>
        <w:ind w:firstLine="560"/>
      </w:pPr>
      <w:r>
        <w:rPr>
          <w:rFonts w:hint="eastAsia"/>
        </w:rPr>
        <w:t>“全地区预算单位满意度（%）”指标，预期指标值为≥90%。</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0" w:name="_Toc5462343"/>
      <w:bookmarkStart w:id="1" w:name="_Toc21664"/>
      <w:bookmarkStart w:id="2" w:name="_Toc22169_WPSOffice_Level2"/>
      <w:bookmarkStart w:id="3" w:name="_Toc5258"/>
      <w:bookmarkStart w:id="4" w:name="_Toc22922"/>
      <w:bookmarkStart w:id="5" w:name="_Toc26632"/>
      <w:bookmarkStart w:id="6" w:name="_Toc12868"/>
      <w:bookmarkStart w:id="7" w:name="_Toc480473081"/>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此次我单位根据《财政支出绩效评价管理暂行办法》（财预〔2020〕10号）文件要求对2019年度我单位实施的地区财政局购置预算绩效管理信息系统建设项目开展部门绩效评价，本次绩效评价主要围绕项目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相关文件</w:t>
      </w:r>
      <w:r>
        <w:rPr>
          <w:rFonts w:hint="eastAsia"/>
        </w:rPr>
        <w:t>要求，本次绩效评价秉承科学规范、公正公开、分级分类、绩效相关等原则，按照从投入、过程到产出效果和影响的绩效逻辑路径，结合地区财政局购置预算绩效管理信息系统建设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428278230"/>
      <w:bookmarkStart w:id="9" w:name="_Toc419984722"/>
      <w:bookmarkStart w:id="10" w:name="_Toc26131"/>
      <w:bookmarkStart w:id="11" w:name="_Toc1913"/>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pPr>
        <w:ind w:firstLine="560"/>
      </w:pPr>
      <w:r>
        <w:rPr>
          <w:rFonts w:hint="eastAsia"/>
        </w:rPr>
        <w:t>本次评价成立了评价工作组</w:t>
      </w:r>
      <w:r>
        <w:rPr>
          <w:rFonts w:hint="eastAsia"/>
          <w:lang w:eastAsia="zh-CN"/>
        </w:rPr>
        <w:t>，</w:t>
      </w:r>
      <w:r>
        <w:rPr>
          <w:rFonts w:hint="eastAsia"/>
        </w:rPr>
        <w:t>本次评价设计了评价方案、评价指标体系，通过资料分析、调研、访谈满意度调查等方式形成评价结论，确定评价意见，并出具评价报告。</w:t>
      </w:r>
    </w:p>
    <w:p>
      <w:pPr>
        <w:pStyle w:val="3"/>
        <w:numPr>
          <w:ilvl w:val="0"/>
          <w:numId w:val="6"/>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地区财政局购置预算绩效管理信息系统建设项目</w:t>
      </w:r>
      <w:r>
        <w:rPr>
          <w:rFonts w:hint="eastAsia"/>
          <w:lang w:val="zh-TW" w:eastAsia="zh-TW"/>
        </w:rPr>
        <w:t>绩效进行客观评价，最终评分结果：总分为</w:t>
      </w:r>
      <w:r>
        <w:rPr>
          <w:rFonts w:hint="eastAsia"/>
        </w:rPr>
        <w:t>91.34</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分值如下表所示：</w:t>
      </w:r>
    </w:p>
    <w:tbl>
      <w:tblPr>
        <w:tblStyle w:val="10"/>
        <w:tblW w:w="8290" w:type="dxa"/>
        <w:jc w:val="center"/>
        <w:tblLayout w:type="fixed"/>
        <w:tblCellMar>
          <w:top w:w="0" w:type="dxa"/>
          <w:left w:w="0" w:type="dxa"/>
          <w:bottom w:w="0" w:type="dxa"/>
          <w:right w:w="0" w:type="dxa"/>
        </w:tblCellMar>
      </w:tblPr>
      <w:tblGrid>
        <w:gridCol w:w="1094"/>
        <w:gridCol w:w="1361"/>
        <w:gridCol w:w="1361"/>
        <w:gridCol w:w="1361"/>
        <w:gridCol w:w="1623"/>
        <w:gridCol w:w="1490"/>
      </w:tblGrid>
      <w:tr>
        <w:tblPrEx>
          <w:tblCellMar>
            <w:top w:w="0" w:type="dxa"/>
            <w:left w:w="0" w:type="dxa"/>
            <w:bottom w:w="0" w:type="dxa"/>
            <w:right w:w="0" w:type="dxa"/>
          </w:tblCellMar>
        </w:tblPrEx>
        <w:trPr>
          <w:trHeight w:val="375" w:hRule="atLeast"/>
          <w:jc w:val="center"/>
        </w:trPr>
        <w:tc>
          <w:tcPr>
            <w:tcW w:w="8290"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表3-1：地区财政局购置预算绩效管理信息系统建设项目得分表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15.2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27.64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28.5</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91.34</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76.0%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92.14%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95.0%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91.34%</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51"/>
        <w:gridCol w:w="794"/>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15.2</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644"/>
        <w:gridCol w:w="1176"/>
        <w:gridCol w:w="1153"/>
      </w:tblGrid>
      <w:tr>
        <w:tblPrEx>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1.6</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1.6</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15.2</w:t>
            </w:r>
          </w:p>
        </w:tc>
      </w:tr>
    </w:tbl>
    <w:p>
      <w:pPr>
        <w:pStyle w:val="4"/>
        <w:numPr>
          <w:ilvl w:val="0"/>
          <w:numId w:val="5"/>
        </w:numPr>
        <w:ind w:firstLine="643"/>
      </w:pPr>
      <w:r>
        <w:rPr>
          <w:rFonts w:hint="eastAsia"/>
        </w:rPr>
        <w:t>项目产出情况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27.64</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rPr>
          <w:rFonts w:ascii="仿宋_GB2312" w:hAnsi="仿宋_GB2312" w:cs="仿宋_GB2312"/>
          <w:b/>
          <w:bCs/>
        </w:rP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4-3</w:t>
      </w:r>
      <w:r>
        <w:rPr>
          <w:rFonts w:hint="eastAsia" w:ascii="仿宋_GB2312" w:hAnsi="仿宋_GB2312" w:cs="仿宋_GB2312"/>
          <w:b/>
          <w:bCs/>
        </w:rPr>
        <w:t>项目产出</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8869" w:type="dxa"/>
        <w:tblInd w:w="0" w:type="dxa"/>
        <w:tblLayout w:type="fixed"/>
        <w:tblCellMar>
          <w:top w:w="0" w:type="dxa"/>
          <w:left w:w="0" w:type="dxa"/>
          <w:bottom w:w="0" w:type="dxa"/>
          <w:right w:w="0" w:type="dxa"/>
        </w:tblCellMar>
      </w:tblPr>
      <w:tblGrid>
        <w:gridCol w:w="670"/>
        <w:gridCol w:w="617"/>
        <w:gridCol w:w="3124"/>
        <w:gridCol w:w="1557"/>
        <w:gridCol w:w="710"/>
        <w:gridCol w:w="1133"/>
        <w:gridCol w:w="710"/>
        <w:gridCol w:w="348"/>
      </w:tblGrid>
      <w:tr>
        <w:tblPrEx>
          <w:tblCellMar>
            <w:top w:w="0" w:type="dxa"/>
            <w:left w:w="0" w:type="dxa"/>
            <w:bottom w:w="0" w:type="dxa"/>
            <w:right w:w="0" w:type="dxa"/>
          </w:tblCellMar>
        </w:tblPrEx>
        <w:trPr>
          <w:trHeight w:val="23" w:hRule="atLeast"/>
        </w:trPr>
        <w:tc>
          <w:tcPr>
            <w:tcW w:w="6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312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55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7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7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34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CellMar>
            <w:top w:w="0" w:type="dxa"/>
            <w:left w:w="0" w:type="dxa"/>
            <w:bottom w:w="0" w:type="dxa"/>
            <w:right w:w="0" w:type="dxa"/>
          </w:tblCellMar>
        </w:tblPrEx>
        <w:trPr>
          <w:trHeight w:val="23" w:hRule="atLeast"/>
        </w:trPr>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产出</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数量指标</w:t>
            </w: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服务区域（个）</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预算绩效管理信息系统（个）</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绩效目标管理模块（个）</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绩效事前评估管理模块（个）</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绩效运行监控管理模块（个）</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绩效评价及结果应用管理模块（个）</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质量指标</w:t>
            </w: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系统验收合格率（%）</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≥95%</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r>
              <w:rPr>
                <w:rFonts w:asciiTheme="minorEastAsia" w:hAnsiTheme="minorEastAsia" w:eastAsiaTheme="minorEastAsia" w:cstheme="minorEastAsia"/>
                <w:color w:val="000000"/>
                <w:sz w:val="24"/>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绩效系统覆盖率（%）</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≥95%</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r>
              <w:rPr>
                <w:rFonts w:asciiTheme="minorEastAsia" w:hAnsiTheme="minorEastAsia" w:eastAsiaTheme="minorEastAsia" w:cstheme="minorEastAsia"/>
                <w:color w:val="000000"/>
                <w:sz w:val="24"/>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系统故障率（%）</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时效指标</w:t>
            </w: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资金支付及时率（%）</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≥95%</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0.84</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正式上线时间</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2019年6月3</w:t>
            </w:r>
            <w:r>
              <w:rPr>
                <w:rFonts w:hint="eastAsia" w:asciiTheme="minorEastAsia" w:hAnsiTheme="minorEastAsia" w:eastAsiaTheme="minorEastAsia" w:cstheme="minorEastAsia"/>
                <w:color w:val="000000"/>
                <w:sz w:val="24"/>
                <w:lang w:val="en-US" w:eastAsia="zh-CN"/>
              </w:rPr>
              <w:t>0</w:t>
            </w:r>
            <w:r>
              <w:rPr>
                <w:rFonts w:hint="eastAsia" w:asciiTheme="minorEastAsia" w:hAnsiTheme="minorEastAsia" w:eastAsiaTheme="minorEastAsia" w:cstheme="minorEastAsia"/>
                <w:color w:val="000000"/>
                <w:sz w:val="24"/>
              </w:rPr>
              <w:t>日前</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r>
              <w:rPr>
                <w:rFonts w:asciiTheme="minorEastAsia" w:hAnsiTheme="minorEastAsia" w:eastAsiaTheme="minorEastAsia" w:cstheme="minorEastAsia"/>
                <w:color w:val="000000"/>
                <w:sz w:val="24"/>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服务期限（年）</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基础问题解决时间期限（小时）</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BUG问题解决时间期限（小时）</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≤48</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48</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成本指标</w:t>
            </w:r>
          </w:p>
        </w:tc>
        <w:tc>
          <w:tcPr>
            <w:tcW w:w="3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服务费用（万元）</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≤236</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w:t>94.4</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0.8</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596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righ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27.64</w:t>
            </w:r>
          </w:p>
        </w:tc>
        <w:tc>
          <w:tcPr>
            <w:tcW w:w="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r>
    </w:tbl>
    <w:p>
      <w:pPr>
        <w:pStyle w:val="4"/>
        <w:numPr>
          <w:ilvl w:val="0"/>
          <w:numId w:val="5"/>
        </w:numPr>
        <w:ind w:firstLine="643"/>
      </w:pP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w:t>
      </w:r>
      <w:r>
        <w:rPr>
          <w:rFonts w:hint="eastAsia"/>
          <w:u w:color="000000"/>
          <w:lang w:val="zh-TW" w:eastAsia="zh-TW"/>
        </w:rPr>
        <w:t>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6</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28.5</w:t>
      </w:r>
      <w:r>
        <w:rPr>
          <w:rFonts w:hint="eastAsia"/>
          <w:u w:color="000000"/>
          <w:lang w:val="zh-TW" w:eastAsia="zh-TW"/>
        </w:rPr>
        <w:t>分</w:t>
      </w:r>
      <w:r>
        <w:rPr>
          <w:rFonts w:hint="eastAsia"/>
          <w:u w:color="000000"/>
          <w:lang w:val="zh-TW"/>
        </w:rPr>
        <w:t>，</w:t>
      </w:r>
      <w:r>
        <w:rPr>
          <w:rFonts w:hint="eastAsia"/>
          <w:u w:color="000000"/>
          <w:lang w:val="zh-TW" w:eastAsia="zh-TW"/>
        </w:rPr>
        <w:t>各指标</w:t>
      </w:r>
      <w:r>
        <w:rPr>
          <w:rFonts w:hint="eastAsia"/>
          <w:color w:val="000000"/>
          <w:u w:color="000000"/>
          <w:lang w:val="zh-TW" w:eastAsia="zh-TW"/>
        </w:rPr>
        <w:t>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9137" w:type="dxa"/>
        <w:tblInd w:w="0" w:type="dxa"/>
        <w:tblLayout w:type="fixed"/>
        <w:tblCellMar>
          <w:top w:w="0" w:type="dxa"/>
          <w:left w:w="0" w:type="dxa"/>
          <w:bottom w:w="0" w:type="dxa"/>
          <w:right w:w="0" w:type="dxa"/>
        </w:tblCellMar>
      </w:tblPr>
      <w:tblGrid>
        <w:gridCol w:w="841"/>
        <w:gridCol w:w="1117"/>
        <w:gridCol w:w="2896"/>
        <w:gridCol w:w="1371"/>
        <w:gridCol w:w="736"/>
        <w:gridCol w:w="1137"/>
        <w:gridCol w:w="566"/>
        <w:gridCol w:w="473"/>
      </w:tblGrid>
      <w:tr>
        <w:tblPrEx>
          <w:tblCellMar>
            <w:top w:w="0" w:type="dxa"/>
            <w:left w:w="0" w:type="dxa"/>
            <w:bottom w:w="0" w:type="dxa"/>
            <w:right w:w="0" w:type="dxa"/>
          </w:tblCellMar>
        </w:tblPrEx>
        <w:trPr>
          <w:trHeight w:val="2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1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8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3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73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1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CellMar>
            <w:top w:w="0" w:type="dxa"/>
            <w:left w:w="0" w:type="dxa"/>
            <w:bottom w:w="0" w:type="dxa"/>
            <w:right w:w="0" w:type="dxa"/>
          </w:tblCellMar>
        </w:tblPrEx>
        <w:trPr>
          <w:trHeight w:val="23" w:hRule="atLeast"/>
        </w:trPr>
        <w:tc>
          <w:tcPr>
            <w:tcW w:w="841"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效益</w:t>
            </w: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社会效益指标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提高工作效率</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有效提高</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4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公共服务水平提升情况</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有效提高</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4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可持续影响指标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系统综合利用率（%）</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≥95%</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r>
              <w:rPr>
                <w:rFonts w:asciiTheme="minorEastAsia" w:hAnsiTheme="minorEastAsia" w:eastAsiaTheme="minorEastAsia" w:cstheme="minorEastAsia"/>
                <w:color w:val="000000"/>
                <w:sz w:val="24"/>
              </w:rPr>
              <w:t>%</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4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保障绩效工作规范化</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长期</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4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满意度指标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财政部门满意度（%）</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≥95%</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w:t>9</w:t>
            </w:r>
            <w:r>
              <w:rPr>
                <w:rFonts w:hint="eastAsia" w:asciiTheme="minorEastAsia" w:hAnsiTheme="minorEastAsia" w:eastAsiaTheme="minorEastAsia" w:cstheme="minorEastAsia"/>
                <w:color w:val="000000"/>
                <w:sz w:val="24"/>
              </w:rPr>
              <w:t>5</w:t>
            </w:r>
            <w:r>
              <w:rPr>
                <w:rFonts w:asciiTheme="minorEastAsia" w:hAnsiTheme="minorEastAsia" w:eastAsiaTheme="minorEastAsia" w:cstheme="minorEastAsia"/>
                <w:color w:val="000000"/>
                <w:sz w:val="24"/>
              </w:rPr>
              <w:t>%</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4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全地区预算单位满意度（%）</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2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28.5</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bl>
    <w:p>
      <w:pPr>
        <w:pStyle w:val="3"/>
        <w:ind w:firstLine="640"/>
      </w:pPr>
      <w:r>
        <w:rPr>
          <w:rFonts w:hint="eastAsia"/>
        </w:rPr>
        <w:t>五、主要经验及做法、存在的问题及原因分析</w:t>
      </w:r>
    </w:p>
    <w:p>
      <w:pPr>
        <w:pStyle w:val="4"/>
        <w:numPr>
          <w:ilvl w:val="0"/>
          <w:numId w:val="7"/>
        </w:numPr>
        <w:ind w:firstLine="643"/>
      </w:pPr>
      <w:bookmarkStart w:id="12" w:name="_Toc1921"/>
      <w:bookmarkStart w:id="13" w:name="_Toc28290"/>
      <w:r>
        <w:rPr>
          <w:rFonts w:hint="eastAsia"/>
        </w:rPr>
        <w:t>主要经验及做法</w:t>
      </w:r>
    </w:p>
    <w:p>
      <w:pPr>
        <w:ind w:firstLine="560"/>
      </w:pPr>
      <w:r>
        <w:rPr>
          <w:rFonts w:hint="eastAsia"/>
        </w:rPr>
        <w:t>保障了和田地区各县市的预算绩效工作的高效开展，提高了工作效率。对各项项目的资金使用情况及工作完成情况有基本的了解，能够更好</w:t>
      </w:r>
      <w:r>
        <w:rPr>
          <w:rFonts w:hint="eastAsia"/>
          <w:lang w:eastAsia="zh-CN"/>
        </w:rPr>
        <w:t>地</w:t>
      </w:r>
      <w:r>
        <w:rPr>
          <w:rFonts w:hint="eastAsia"/>
        </w:rPr>
        <w:t>做到监控管理的工作。</w:t>
      </w:r>
    </w:p>
    <w:bookmarkEnd w:id="12"/>
    <w:bookmarkEnd w:id="13"/>
    <w:p>
      <w:pPr>
        <w:pStyle w:val="4"/>
        <w:numPr>
          <w:ilvl w:val="0"/>
          <w:numId w:val="7"/>
        </w:numPr>
        <w:ind w:firstLine="643"/>
      </w:pPr>
      <w:r>
        <w:rPr>
          <w:rFonts w:hint="eastAsia"/>
        </w:rPr>
        <w:t>存在的问题及原因分析</w:t>
      </w:r>
    </w:p>
    <w:p>
      <w:pPr>
        <w:ind w:firstLine="560"/>
        <w:rPr>
          <w:rFonts w:ascii="黑体" w:hAnsi="黑体"/>
        </w:rPr>
      </w:pPr>
      <w:r>
        <w:rPr>
          <w:rFonts w:hint="eastAsia"/>
        </w:rPr>
        <w:t>应资金拨付到位不及时，导致相关资金支付不及时，从而有相应的扣分。为了保障资金使用情况良好，应完善相关的资金使用制度，能够保证资金支付的及时性。做到有据可依，能够更好</w:t>
      </w:r>
      <w:r>
        <w:rPr>
          <w:rFonts w:hint="eastAsia"/>
          <w:lang w:eastAsia="zh-CN"/>
        </w:rPr>
        <w:t>地</w:t>
      </w:r>
      <w:r>
        <w:rPr>
          <w:rFonts w:hint="eastAsia"/>
        </w:rPr>
        <w:t>完成项目。</w:t>
      </w:r>
    </w:p>
    <w:p>
      <w:pPr>
        <w:pStyle w:val="3"/>
        <w:ind w:firstLine="640"/>
      </w:pPr>
      <w:r>
        <w:rPr>
          <w:rFonts w:hint="eastAsia"/>
        </w:rPr>
        <w:t>六、有关建议</w:t>
      </w:r>
    </w:p>
    <w:p>
      <w:pPr>
        <w:ind w:firstLine="560"/>
        <w:rPr>
          <w:color w:val="FF0000"/>
          <w:spacing w:val="-4"/>
          <w:szCs w:val="32"/>
        </w:rPr>
      </w:pPr>
      <w:r>
        <w:rPr>
          <w:rFonts w:hint="eastAsia"/>
        </w:rPr>
        <w:t>项目应有事前计划和安排，事中有按计划推进和监督，并根据实际及时调整，事后有验收和总结。以此更好的保证绩效工作的准确性，能够更好</w:t>
      </w:r>
      <w:r>
        <w:rPr>
          <w:rFonts w:hint="eastAsia"/>
          <w:lang w:eastAsia="zh-CN"/>
        </w:rPr>
        <w:t>地</w:t>
      </w:r>
      <w:r>
        <w:rPr>
          <w:rFonts w:hint="eastAsia"/>
        </w:rPr>
        <w:t>掌握各个预算单位的项目资金的使用情况，为整体的绩效工作奠定较好的基础。</w:t>
      </w:r>
    </w:p>
    <w:p>
      <w:pPr>
        <w:pStyle w:val="3"/>
        <w:ind w:firstLine="640"/>
      </w:pPr>
      <w:r>
        <w:rPr>
          <w:rFonts w:hint="eastAsia"/>
        </w:rPr>
        <w:t>七、其他需要说明的问题</w:t>
      </w:r>
    </w:p>
    <w:p>
      <w:pPr>
        <w:ind w:firstLine="560"/>
        <w:rPr>
          <w:strike/>
        </w:rPr>
      </w:pPr>
      <w:r>
        <w:rPr>
          <w:rFonts w:hint="eastAsia"/>
        </w:rPr>
        <w:t>无其他说明内容。</w:t>
      </w:r>
    </w:p>
    <w:p>
      <w:pPr>
        <w:ind w:firstLine="560"/>
      </w:pPr>
    </w:p>
    <w:sectPr>
      <w:footerReference r:id="rId11" w:type="default"/>
      <w:pgSz w:w="16838" w:h="11906" w:orient="landscape"/>
      <w:pgMar w:top="1531" w:right="1928" w:bottom="1531" w:left="170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Nimbus Roman No9 L"/>
    <w:panose1 w:val="020B0604020202020204"/>
    <w:charset w:val="86"/>
    <w:family w:val="swiss"/>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7"/>
                  <w:ind w:firstLine="360"/>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HorizontalSpacing w:val="140"/>
  <w:drawingGridVerticalSpacing w:val="204"/>
  <w:displayHorizontalDrawingGridEvery w:val="2"/>
  <w:displayVerticalDrawingGridEvery w:val="2"/>
  <w:noPunctuationKerning w:val="true"/>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014AB3"/>
    <w:rsid w:val="000F47EA"/>
    <w:rsid w:val="0019035C"/>
    <w:rsid w:val="00280CB5"/>
    <w:rsid w:val="002C48F8"/>
    <w:rsid w:val="00314195"/>
    <w:rsid w:val="003D5D6D"/>
    <w:rsid w:val="005E25AB"/>
    <w:rsid w:val="00605096"/>
    <w:rsid w:val="00681905"/>
    <w:rsid w:val="006E3E0B"/>
    <w:rsid w:val="0075294E"/>
    <w:rsid w:val="00914D68"/>
    <w:rsid w:val="00942F6E"/>
    <w:rsid w:val="009438FF"/>
    <w:rsid w:val="009B5A6C"/>
    <w:rsid w:val="009B5CF5"/>
    <w:rsid w:val="009E66FA"/>
    <w:rsid w:val="00B5758E"/>
    <w:rsid w:val="00BE2C6D"/>
    <w:rsid w:val="00BE6189"/>
    <w:rsid w:val="00C83C6B"/>
    <w:rsid w:val="00D73420"/>
    <w:rsid w:val="00E715E5"/>
    <w:rsid w:val="00EA7B8B"/>
    <w:rsid w:val="00F15BED"/>
    <w:rsid w:val="00F22189"/>
    <w:rsid w:val="00F57DF3"/>
    <w:rsid w:val="00F95C03"/>
    <w:rsid w:val="0CE57393"/>
    <w:rsid w:val="0FF62C78"/>
    <w:rsid w:val="12F1313F"/>
    <w:rsid w:val="245E1E24"/>
    <w:rsid w:val="2C103347"/>
    <w:rsid w:val="2E483E7E"/>
    <w:rsid w:val="332F7DDD"/>
    <w:rsid w:val="33944516"/>
    <w:rsid w:val="34FB4224"/>
    <w:rsid w:val="36185B49"/>
    <w:rsid w:val="42FE3854"/>
    <w:rsid w:val="45AC66FC"/>
    <w:rsid w:val="4F733A2D"/>
    <w:rsid w:val="5D87634F"/>
    <w:rsid w:val="60937F5E"/>
    <w:rsid w:val="61EA3381"/>
    <w:rsid w:val="636D1879"/>
    <w:rsid w:val="68291A1A"/>
    <w:rsid w:val="691B1594"/>
    <w:rsid w:val="6F0D6C22"/>
    <w:rsid w:val="74D256AC"/>
    <w:rsid w:val="76D2301A"/>
    <w:rsid w:val="77861774"/>
    <w:rsid w:val="79300B45"/>
    <w:rsid w:val="79A17504"/>
    <w:rsid w:val="7E354538"/>
    <w:rsid w:val="7E617414"/>
    <w:rsid w:val="FBBF7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qFormat/>
    <w:uiPriority w:val="0"/>
    <w:pPr>
      <w:jc w:val="left"/>
    </w:pPr>
  </w:style>
  <w:style w:type="paragraph" w:styleId="6">
    <w:name w:val="Balloon Text"/>
    <w:basedOn w:val="1"/>
    <w:link w:val="16"/>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5"/>
    <w:next w:val="5"/>
    <w:link w:val="18"/>
    <w:qFormat/>
    <w:uiPriority w:val="0"/>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2"/>
    <w:link w:val="6"/>
    <w:qFormat/>
    <w:uiPriority w:val="0"/>
    <w:rPr>
      <w:rFonts w:eastAsia="仿宋_GB2312"/>
      <w:kern w:val="2"/>
      <w:sz w:val="18"/>
      <w:szCs w:val="18"/>
    </w:rPr>
  </w:style>
  <w:style w:type="character" w:customStyle="1" w:styleId="17">
    <w:name w:val="批注文字 Char"/>
    <w:basedOn w:val="12"/>
    <w:link w:val="5"/>
    <w:qFormat/>
    <w:uiPriority w:val="0"/>
    <w:rPr>
      <w:rFonts w:eastAsia="仿宋_GB2312"/>
      <w:kern w:val="2"/>
      <w:sz w:val="28"/>
      <w:szCs w:val="24"/>
    </w:rPr>
  </w:style>
  <w:style w:type="character" w:customStyle="1" w:styleId="18">
    <w:name w:val="批注主题 Char"/>
    <w:basedOn w:val="17"/>
    <w:link w:val="9"/>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25</Pages>
  <Words>1825</Words>
  <Characters>10408</Characters>
  <Lines>86</Lines>
  <Paragraphs>24</Paragraphs>
  <TotalTime>64</TotalTime>
  <ScaleCrop>false</ScaleCrop>
  <LinksUpToDate>false</LinksUpToDate>
  <CharactersWithSpaces>12209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2020-04-02T03:28:00Z</dcterms:created>
  <dc:creator>驰远天合-柴万顺-18690160103</dc:creator>
  <cp:lastModifiedBy>user</cp:lastModifiedBy>
  <dcterms:modified xsi:type="dcterms:W3CDTF">2024-09-02T10:51:49Z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