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sz w:val="36"/>
          <w:szCs w:val="36"/>
        </w:rPr>
      </w:pPr>
    </w:p>
    <w:p>
      <w:pPr>
        <w:jc w:val="center"/>
        <w:rPr>
          <w:rFonts w:ascii="宋体" w:hAnsi="宋体" w:eastAsia="宋体" w:cs="Arial"/>
          <w:b/>
          <w:bCs/>
          <w:sz w:val="36"/>
          <w:szCs w:val="36"/>
        </w:rPr>
      </w:pPr>
    </w:p>
    <w:p>
      <w:pPr>
        <w:jc w:val="center"/>
        <w:rPr>
          <w:rFonts w:ascii="宋体" w:hAnsi="宋体" w:eastAsia="宋体" w:cs="Arial"/>
          <w:b/>
          <w:bCs/>
          <w:sz w:val="36"/>
          <w:szCs w:val="36"/>
        </w:rPr>
      </w:pPr>
    </w:p>
    <w:p>
      <w:pPr>
        <w:spacing w:line="240" w:lineRule="atLeast"/>
        <w:jc w:val="center"/>
        <w:rPr>
          <w:rFonts w:ascii="黑体" w:hAnsi="黑体" w:eastAsia="黑体" w:cs="黑体"/>
          <w:b/>
          <w:bCs/>
          <w:sz w:val="36"/>
          <w:szCs w:val="36"/>
        </w:rPr>
      </w:pPr>
      <w:r>
        <w:rPr>
          <w:rFonts w:hint="eastAsia" w:ascii="黑体" w:hAnsi="黑体" w:eastAsia="黑体" w:cs="黑体"/>
          <w:b/>
          <w:bCs/>
          <w:sz w:val="36"/>
          <w:szCs w:val="36"/>
        </w:rPr>
        <w:t>和田广播电视大学公务费项目支出绩效评价报告</w:t>
      </w:r>
    </w:p>
    <w:p>
      <w:pPr>
        <w:pStyle w:val="5"/>
        <w:ind w:firstLine="723"/>
        <w:rPr>
          <w:rFonts w:ascii="黑体" w:hAnsi="黑体" w:eastAsia="黑体" w:cs="黑体"/>
          <w:sz w:val="36"/>
          <w:szCs w:val="36"/>
        </w:rPr>
      </w:pPr>
    </w:p>
    <w:p>
      <w:pPr>
        <w:spacing w:line="240" w:lineRule="atLeast"/>
        <w:jc w:val="center"/>
        <w:rPr>
          <w:rFonts w:ascii="宋体" w:hAnsi="宋体" w:eastAsia="宋体" w:cs="Arial"/>
          <w:b/>
          <w:bCs/>
          <w:sz w:val="36"/>
          <w:szCs w:val="36"/>
        </w:rPr>
      </w:pPr>
    </w:p>
    <w:p>
      <w:pPr>
        <w:spacing w:line="240" w:lineRule="atLeast"/>
        <w:jc w:val="center"/>
        <w:rPr>
          <w:rFonts w:ascii="宋体" w:hAnsi="宋体" w:eastAsia="宋体" w:cs="Arial"/>
          <w:b/>
          <w:bCs/>
          <w:sz w:val="36"/>
          <w:szCs w:val="36"/>
        </w:rPr>
      </w:pPr>
    </w:p>
    <w:p>
      <w:pPr>
        <w:spacing w:line="240" w:lineRule="atLeast"/>
        <w:jc w:val="center"/>
        <w:rPr>
          <w:rFonts w:ascii="宋体" w:hAnsi="宋体" w:eastAsia="宋体" w:cs="Arial"/>
          <w:b/>
          <w:bCs/>
          <w:sz w:val="36"/>
          <w:szCs w:val="36"/>
        </w:rPr>
      </w:pPr>
    </w:p>
    <w:p>
      <w:pPr>
        <w:spacing w:line="240" w:lineRule="atLeast"/>
        <w:jc w:val="center"/>
        <w:rPr>
          <w:rFonts w:ascii="宋体" w:hAnsi="宋体" w:eastAsia="宋体" w:cs="Arial"/>
          <w:b/>
          <w:bCs/>
          <w:sz w:val="36"/>
          <w:szCs w:val="36"/>
        </w:rPr>
      </w:pPr>
    </w:p>
    <w:p>
      <w:pPr>
        <w:spacing w:line="240" w:lineRule="atLeast"/>
        <w:jc w:val="center"/>
        <w:rPr>
          <w:rFonts w:ascii="宋体" w:hAnsi="宋体" w:eastAsia="宋体" w:cs="Arial"/>
          <w:b/>
          <w:bCs/>
          <w:sz w:val="36"/>
          <w:szCs w:val="36"/>
        </w:rPr>
      </w:pPr>
    </w:p>
    <w:p>
      <w:pPr>
        <w:spacing w:line="240" w:lineRule="atLeast"/>
        <w:jc w:val="center"/>
        <w:rPr>
          <w:rFonts w:ascii="宋体" w:hAnsi="宋体" w:eastAsia="宋体" w:cs="Arial"/>
          <w:b/>
          <w:bCs/>
          <w:sz w:val="36"/>
          <w:szCs w:val="36"/>
        </w:rPr>
      </w:pPr>
    </w:p>
    <w:p>
      <w:pPr>
        <w:spacing w:line="240" w:lineRule="auto"/>
        <w:jc w:val="center"/>
        <w:rPr>
          <w:rFonts w:ascii="宋体" w:hAnsi="宋体" w:eastAsia="宋体" w:cs="Arial"/>
          <w:b/>
          <w:bCs/>
          <w:sz w:val="36"/>
          <w:szCs w:val="36"/>
        </w:rPr>
      </w:pPr>
    </w:p>
    <w:p>
      <w:pPr>
        <w:spacing w:line="360" w:lineRule="auto"/>
        <w:ind w:firstLine="602"/>
        <w:rPr>
          <w:rFonts w:ascii="黑体" w:eastAsia="黑体"/>
          <w:b/>
          <w:sz w:val="30"/>
          <w:szCs w:val="30"/>
        </w:rPr>
      </w:pPr>
      <w:r>
        <w:rPr>
          <w:rFonts w:hint="eastAsia" w:ascii="黑体" w:eastAsia="黑体"/>
          <w:b/>
          <w:sz w:val="30"/>
          <w:szCs w:val="30"/>
        </w:rPr>
        <w:t>项目名称：公务费项目</w:t>
      </w:r>
    </w:p>
    <w:p>
      <w:pPr>
        <w:spacing w:line="360" w:lineRule="auto"/>
        <w:ind w:firstLine="602"/>
        <w:rPr>
          <w:rFonts w:ascii="黑体" w:eastAsia="黑体"/>
          <w:b/>
          <w:sz w:val="30"/>
          <w:szCs w:val="30"/>
        </w:rPr>
      </w:pPr>
      <w:r>
        <w:rPr>
          <w:rFonts w:hint="eastAsia" w:ascii="黑体" w:eastAsia="黑体"/>
          <w:b/>
          <w:sz w:val="30"/>
          <w:szCs w:val="30"/>
        </w:rPr>
        <w:t>实施单位：和田广播电视大学（和田地区财经学校）</w:t>
      </w:r>
    </w:p>
    <w:p>
      <w:pPr>
        <w:spacing w:line="360" w:lineRule="auto"/>
        <w:ind w:firstLine="602"/>
        <w:rPr>
          <w:rFonts w:ascii="黑体" w:eastAsia="黑体"/>
          <w:b/>
          <w:sz w:val="30"/>
          <w:szCs w:val="30"/>
        </w:rPr>
        <w:sectPr>
          <w:headerReference r:id="rId5" w:type="first"/>
          <w:footerReference r:id="rId8" w:type="first"/>
          <w:headerReference r:id="rId3" w:type="default"/>
          <w:footerReference r:id="rId6" w:type="default"/>
          <w:headerReference r:id="rId4" w:type="even"/>
          <w:footerReference r:id="rId7" w:type="even"/>
          <w:pgSz w:w="11906" w:h="16838"/>
          <w:pgMar w:top="1928" w:right="1531" w:bottom="1701" w:left="1531" w:header="737" w:footer="851" w:gutter="0"/>
          <w:cols w:space="720" w:num="1"/>
          <w:docGrid w:type="lines" w:linePitch="408" w:charSpace="0"/>
        </w:sectPr>
      </w:pPr>
      <w:r>
        <w:rPr>
          <w:rFonts w:hint="eastAsia" w:ascii="黑体" w:eastAsia="黑体"/>
          <w:b/>
          <w:sz w:val="30"/>
          <w:szCs w:val="30"/>
        </w:rPr>
        <w:t>主管部门：和田地区教育局</w:t>
      </w:r>
    </w:p>
    <w:p>
      <w:pPr>
        <w:spacing w:line="240" w:lineRule="atLeast"/>
        <w:jc w:val="center"/>
        <w:rPr>
          <w:rFonts w:ascii="黑体" w:hAnsi="黑体" w:eastAsia="黑体" w:cs="黑体"/>
          <w:b/>
          <w:bCs/>
          <w:sz w:val="36"/>
          <w:szCs w:val="36"/>
        </w:rPr>
      </w:pPr>
      <w:r>
        <w:rPr>
          <w:rFonts w:hint="eastAsia" w:ascii="黑体" w:hAnsi="黑体" w:eastAsia="黑体" w:cs="黑体"/>
          <w:b/>
          <w:bCs/>
          <w:sz w:val="36"/>
          <w:szCs w:val="36"/>
        </w:rPr>
        <w:t>公务费项目支出绩效评价报告</w:t>
      </w:r>
    </w:p>
    <w:p>
      <w:pPr>
        <w:pStyle w:val="3"/>
        <w:ind w:firstLine="640"/>
      </w:pPr>
      <w:r>
        <w:rPr>
          <w:rFonts w:hint="eastAsia"/>
        </w:rPr>
        <w:t>一、基本情况</w:t>
      </w:r>
    </w:p>
    <w:p>
      <w:pPr>
        <w:pStyle w:val="4"/>
        <w:ind w:firstLine="643"/>
      </w:pPr>
      <w:r>
        <w:rPr>
          <w:rFonts w:hint="eastAsia"/>
        </w:rPr>
        <w:t>（一）项目概况</w:t>
      </w:r>
    </w:p>
    <w:p>
      <w:pPr>
        <w:pStyle w:val="5"/>
        <w:ind w:firstLine="562"/>
      </w:pPr>
      <w:r>
        <w:rPr>
          <w:rFonts w:hint="eastAsia"/>
        </w:rPr>
        <w:t>1.项目背景</w:t>
      </w:r>
    </w:p>
    <w:p>
      <w:pPr>
        <w:ind w:firstLine="560"/>
      </w:pPr>
      <w:r>
        <w:rPr>
          <w:rFonts w:hint="eastAsia"/>
        </w:rPr>
        <w:t>根据电大办学的发展与转型，确保发展、转型过程中的各项工作需要，调研解决突出问题，为电大发展做出符合实际的规划决策，加快推动电大老年大学，推动社区教育，非学历教育综合于一体的办学思想，为和田地区全民终身学习建设做出贡献。</w:t>
      </w:r>
    </w:p>
    <w:p>
      <w:pPr>
        <w:ind w:firstLine="560"/>
      </w:pPr>
      <w:r>
        <w:rPr>
          <w:rFonts w:hint="eastAsia"/>
        </w:rPr>
        <w:t>2019年为保障我校本部及各县六个工作站208.58万元办公经费。各类工作所需的差旅费、接待费、购买办公用品、劳保用品、低值易耗品、广告费、培训费、临时工工资、设备购置费、公务车运行及维修、交通费、印刷费等。通过项目实施保障我校学历教育及非学历教育工作顺利开展，提升办公效率和教育服务水平和保证各项教育活动开展的有序进行。</w:t>
      </w:r>
    </w:p>
    <w:p>
      <w:pPr>
        <w:pStyle w:val="5"/>
        <w:ind w:firstLine="562"/>
      </w:pPr>
      <w:r>
        <w:rPr>
          <w:rFonts w:hint="eastAsia"/>
        </w:rPr>
        <w:t>2.项目实施主体</w:t>
      </w:r>
    </w:p>
    <w:p>
      <w:pPr>
        <w:spacing w:line="500" w:lineRule="exact"/>
        <w:ind w:firstLine="560"/>
        <w:rPr>
          <w:rFonts w:ascii="仿宋_GB2312" w:hAnsi="仿宋_GB2312" w:cs="仿宋_GB2312"/>
          <w:kern w:val="0"/>
          <w:sz w:val="30"/>
          <w:szCs w:val="30"/>
        </w:rPr>
      </w:pPr>
      <w:r>
        <w:rPr>
          <w:rFonts w:hint="eastAsia"/>
        </w:rPr>
        <w:t>1）部门职责：</w:t>
      </w:r>
      <w:r>
        <w:rPr>
          <w:rFonts w:hint="eastAsia" w:ascii="仿宋_GB2312" w:hAnsi="仿宋_GB2312" w:cs="仿宋_GB2312"/>
          <w:kern w:val="0"/>
          <w:sz w:val="30"/>
          <w:szCs w:val="30"/>
        </w:rPr>
        <w:t>和田广播电视大学（以下简称和田电大）</w:t>
      </w:r>
      <w:r>
        <w:rPr>
          <w:rFonts w:hint="eastAsia" w:ascii="仿宋_GB2312" w:hAnsi="仿宋_GB2312" w:cs="仿宋_GB2312"/>
          <w:kern w:val="0"/>
          <w:sz w:val="30"/>
          <w:szCs w:val="30"/>
          <w:lang w:val="zh-CN"/>
        </w:rPr>
        <w:t>成立于1982年，</w:t>
      </w:r>
      <w:r>
        <w:rPr>
          <w:rFonts w:hint="eastAsia" w:ascii="仿宋_GB2312" w:hAnsi="仿宋_GB2312" w:cs="仿宋_GB2312"/>
          <w:kern w:val="0"/>
          <w:sz w:val="30"/>
          <w:szCs w:val="30"/>
        </w:rPr>
        <w:t>是和田地区唯一一所综合性大学。承担成人学历教育、非学历教育、继续教育等任务，为当地经济发展培养适用人才，办学层次为专本并举，以开放教育为主,依托国家开放大学系统教学资源，举办现代远程专、本科学历教育及各类岗位培训，为和田地区各相关教育机构开展现代远程教育提供资源、管理和支持服务。</w:t>
      </w:r>
    </w:p>
    <w:p>
      <w:pPr>
        <w:pStyle w:val="5"/>
        <w:ind w:firstLine="562"/>
      </w:pPr>
      <w:r>
        <w:rPr>
          <w:rFonts w:hint="eastAsia"/>
        </w:rPr>
        <w:t>2</w:t>
      </w:r>
      <w:bookmarkStart w:id="0" w:name="_Toc491422414"/>
      <w:bookmarkStart w:id="1" w:name="_Toc484134532"/>
      <w:r>
        <w:rPr>
          <w:rFonts w:hint="eastAsia"/>
        </w:rPr>
        <w:t>）</w:t>
      </w:r>
      <w:r>
        <w:rPr>
          <w:rFonts w:hint="eastAsia"/>
          <w:lang w:val="zh-TW"/>
        </w:rPr>
        <w:t>部门内设机构构成及人员情况</w:t>
      </w:r>
      <w:bookmarkEnd w:id="0"/>
      <w:bookmarkEnd w:id="1"/>
    </w:p>
    <w:p>
      <w:pPr>
        <w:spacing w:line="500" w:lineRule="exact"/>
        <w:ind w:firstLine="600"/>
        <w:rPr>
          <w:rFonts w:ascii="仿宋_GB2312" w:hAnsi="仿宋_GB2312" w:cs="仿宋_GB2312"/>
          <w:kern w:val="0"/>
          <w:sz w:val="30"/>
          <w:szCs w:val="30"/>
        </w:rPr>
      </w:pPr>
      <w:r>
        <w:rPr>
          <w:rFonts w:hint="eastAsia" w:ascii="仿宋_GB2312" w:hAnsi="仿宋_GB2312" w:cs="仿宋_GB2312"/>
          <w:kern w:val="0"/>
          <w:sz w:val="30"/>
          <w:szCs w:val="30"/>
        </w:rPr>
        <w:t>学校设有党委、党的纪律检查委员会，下设：党政办、纪检监察室、思政科、工会、团委、教务科、远程教育科、招生就业服务中心、继续教育科、网络信息中心、后勤服务中心科、教育教学督导科</w:t>
      </w:r>
      <w:bookmarkStart w:id="16" w:name="_GoBack"/>
      <w:bookmarkEnd w:id="16"/>
      <w:r>
        <w:rPr>
          <w:rFonts w:hint="eastAsia" w:ascii="仿宋_GB2312" w:hAnsi="仿宋_GB2312" w:cs="仿宋_GB2312"/>
          <w:kern w:val="0"/>
          <w:sz w:val="30"/>
          <w:szCs w:val="30"/>
        </w:rPr>
        <w:t>职能科室。内设2个职能科室为：财务室和组教员管理办公室。学校在墨玉、策勒、于田、民丰设有四个本科工作站，在皮山、洛浦设有两个专科工作站。</w:t>
      </w:r>
    </w:p>
    <w:p>
      <w:pPr>
        <w:pStyle w:val="5"/>
        <w:ind w:firstLine="562"/>
      </w:pPr>
      <w:r>
        <w:rPr>
          <w:rFonts w:hint="eastAsia"/>
        </w:rPr>
        <w:t>3.项目组织结构</w:t>
      </w:r>
    </w:p>
    <w:p>
      <w:pPr>
        <w:spacing w:line="500" w:lineRule="exact"/>
        <w:ind w:firstLine="600"/>
        <w:rPr>
          <w:rFonts w:hint="eastAsia" w:ascii="仿宋_GB2312" w:hAnsi="仿宋_GB2312" w:cs="仿宋_GB2312"/>
          <w:kern w:val="0"/>
          <w:sz w:val="30"/>
          <w:szCs w:val="30"/>
        </w:rPr>
      </w:pPr>
      <w:r>
        <w:rPr>
          <w:rFonts w:hint="eastAsia" w:ascii="仿宋_GB2312" w:hAnsi="仿宋_GB2312" w:cs="仿宋_GB2312"/>
          <w:kern w:val="0"/>
          <w:sz w:val="30"/>
          <w:szCs w:val="30"/>
        </w:rPr>
        <w:t>为确保我单位该项目的顺利实施，我单位成立项目实施小组。</w:t>
      </w:r>
    </w:p>
    <w:p>
      <w:pPr>
        <w:pStyle w:val="5"/>
        <w:ind w:firstLine="562"/>
      </w:pPr>
      <w:r>
        <w:rPr>
          <w:rFonts w:hint="eastAsia"/>
        </w:rPr>
        <w:t>4.主要内容及实施情况</w:t>
      </w:r>
    </w:p>
    <w:p>
      <w:pPr>
        <w:spacing w:line="500" w:lineRule="exact"/>
        <w:ind w:firstLine="600"/>
        <w:rPr>
          <w:rFonts w:hint="eastAsia" w:ascii="仿宋_GB2312" w:hAnsi="仿宋_GB2312" w:cs="仿宋_GB2312"/>
          <w:kern w:val="0"/>
          <w:sz w:val="30"/>
          <w:szCs w:val="30"/>
        </w:rPr>
      </w:pPr>
      <w:r>
        <w:rPr>
          <w:rFonts w:hint="eastAsia" w:ascii="仿宋_GB2312" w:hAnsi="仿宋_GB2312" w:cs="仿宋_GB2312"/>
          <w:kern w:val="0"/>
          <w:sz w:val="30"/>
          <w:szCs w:val="30"/>
        </w:rPr>
        <w:t>2019预算办公经费共计208.58万元，主要用于校本部及各县工作站的办公经费。各类工作所需的差旅费、接待费、购买办公用品、劳保用品、低值易耗品、广告费、培训费、维修费、临时工工资、设备购置费、公务车运行及维修、交通费、印刷费等。</w:t>
      </w:r>
    </w:p>
    <w:p>
      <w:pPr>
        <w:pStyle w:val="5"/>
        <w:ind w:firstLine="562"/>
      </w:pPr>
      <w:r>
        <w:rPr>
          <w:rFonts w:hint="eastAsia"/>
        </w:rPr>
        <w:t>5.资金投入和使用情况</w:t>
      </w:r>
    </w:p>
    <w:p>
      <w:pPr>
        <w:ind w:firstLine="560"/>
      </w:pPr>
      <w:r>
        <w:rPr>
          <w:rFonts w:hint="eastAsia"/>
        </w:rPr>
        <w:t>（1）项目资金安排落实、总投入等情况分析</w:t>
      </w:r>
    </w:p>
    <w:p>
      <w:pPr>
        <w:ind w:firstLine="560"/>
      </w:pPr>
      <w:r>
        <w:rPr>
          <w:rFonts w:hint="eastAsia"/>
        </w:rPr>
        <w:t>公务费</w:t>
      </w:r>
      <w:r>
        <w:t>项目预算安排总额为</w:t>
      </w:r>
      <w:r>
        <w:rPr>
          <w:rFonts w:hint="eastAsia"/>
        </w:rPr>
        <w:t>208.58</w:t>
      </w:r>
      <w:r>
        <w:t>万元，其中财政资金</w:t>
      </w:r>
      <w:r>
        <w:rPr>
          <w:rFonts w:hint="eastAsia"/>
        </w:rPr>
        <w:t>208.58</w:t>
      </w:r>
      <w:r>
        <w:t>元，其他资金</w:t>
      </w:r>
      <w:r>
        <w:rPr>
          <w:rFonts w:hint="eastAsia"/>
        </w:rPr>
        <w:t>0.00</w:t>
      </w:r>
      <w:r>
        <w:t>万元，2019年实际收到预算资金</w:t>
      </w:r>
      <w:r>
        <w:rPr>
          <w:rFonts w:hint="eastAsia"/>
        </w:rPr>
        <w:t>208.58</w:t>
      </w:r>
      <w:r>
        <w:t>万元，预算资金到位率为</w:t>
      </w:r>
      <w:r>
        <w:rPr>
          <w:rFonts w:hint="eastAsia"/>
        </w:rPr>
        <w:t>100</w:t>
      </w:r>
      <w:r>
        <w:t>%。</w:t>
      </w:r>
    </w:p>
    <w:p>
      <w:pPr>
        <w:numPr>
          <w:ilvl w:val="0"/>
          <w:numId w:val="2"/>
        </w:numPr>
        <w:ind w:firstLine="544"/>
        <w:rPr>
          <w:rFonts w:ascii="楷体" w:hAnsi="楷体" w:eastAsia="楷体"/>
          <w:bCs/>
          <w:spacing w:val="-4"/>
        </w:rPr>
      </w:pPr>
      <w:r>
        <w:rPr>
          <w:rFonts w:hint="eastAsia" w:ascii="楷体" w:hAnsi="楷体" w:eastAsia="楷体"/>
          <w:bCs/>
          <w:spacing w:val="-4"/>
        </w:rPr>
        <w:t>项目资金实际使用情况分析</w:t>
      </w:r>
    </w:p>
    <w:p>
      <w:pPr>
        <w:ind w:firstLine="560"/>
      </w:pPr>
      <w:r>
        <w:rPr>
          <w:rFonts w:hint="eastAsia"/>
        </w:rPr>
        <w:t>本项目实际支付资金196.59万元，预算执行率94.3</w:t>
      </w:r>
      <w:r>
        <w:t>%</w:t>
      </w:r>
      <w:r>
        <w:rPr>
          <w:rFonts w:hint="eastAsia"/>
        </w:rPr>
        <w:t>。项目资金主要用于支付各类工作所需的差旅费、接待费、购买办公用品、劳保用品、低值易耗品、广告费、培训费、维修费、设备购置费、公务车运行及维修、交通费、印刷费等。临时工工资支出费用41.3万元、维修支出费用72.24万元，办公费支出19.35万元、差旅费支出19.3万元、设备购置支出44.4万元。</w:t>
      </w:r>
    </w:p>
    <w:p>
      <w:pPr>
        <w:pStyle w:val="4"/>
        <w:numPr>
          <w:ilvl w:val="0"/>
          <w:numId w:val="3"/>
        </w:numPr>
        <w:ind w:firstLine="643"/>
      </w:pPr>
      <w:r>
        <w:rPr>
          <w:rFonts w:hint="eastAsia"/>
        </w:rPr>
        <w:t>项目绩效目标</w:t>
      </w:r>
    </w:p>
    <w:p>
      <w:pPr>
        <w:pStyle w:val="5"/>
        <w:ind w:firstLine="562"/>
      </w:pPr>
      <w:r>
        <w:rPr>
          <w:rFonts w:hint="eastAsia"/>
        </w:rPr>
        <w:t>1.总体目标</w:t>
      </w:r>
    </w:p>
    <w:p>
      <w:pPr>
        <w:pStyle w:val="5"/>
        <w:ind w:firstLine="562"/>
        <w:rPr>
          <w:b w:val="0"/>
          <w:bCs w:val="0"/>
        </w:rPr>
      </w:pPr>
      <w:r>
        <w:rPr>
          <w:rFonts w:hint="eastAsia"/>
        </w:rPr>
        <w:t xml:space="preserve"> </w:t>
      </w:r>
      <w:r>
        <w:rPr>
          <w:rFonts w:hint="eastAsia"/>
          <w:b w:val="0"/>
          <w:bCs w:val="0"/>
        </w:rPr>
        <w:t>2019年为保障我校本部及各县六个工作站208.58万元办公经费。各类工作所需的差旅费、接待费、购买办公用品、劳保用品、低值易耗品、广告费、培训费、维修费、临时工工资、设备购置费、公务车运行及维修、交通费、印刷费等。通过项目实施保障我校学历教育及非学历教育工作顺利开展，提升办公效率和教育服务水平和保证各项教育活动开展的有序进行。</w:t>
      </w:r>
    </w:p>
    <w:p>
      <w:pPr>
        <w:pStyle w:val="5"/>
        <w:ind w:firstLine="562"/>
      </w:pPr>
      <w:r>
        <w:rPr>
          <w:rFonts w:hint="eastAsia"/>
        </w:rPr>
        <w:t>2.阶段性目标</w:t>
      </w:r>
    </w:p>
    <w:p>
      <w:pPr>
        <w:ind w:firstLine="560"/>
        <w:rPr>
          <w:rFonts w:hAnsi="Arial" w:cs="宋体"/>
          <w:bCs/>
        </w:rPr>
      </w:pPr>
      <w:r>
        <w:rPr>
          <w:rFonts w:hint="eastAsia" w:hAnsi="Arial" w:cs="宋体"/>
          <w:bCs/>
        </w:rPr>
        <w:t>根据</w:t>
      </w:r>
      <w:r>
        <w:rPr>
          <w:rFonts w:hint="eastAsia" w:hAnsi="Arial" w:cs="宋体"/>
          <w:bCs/>
          <w:lang w:eastAsia="zh-CN"/>
        </w:rPr>
        <w:t>相关</w:t>
      </w:r>
      <w:r>
        <w:rPr>
          <w:rFonts w:hint="eastAsia" w:hAnsi="Arial" w:cs="宋体"/>
          <w:bCs/>
        </w:rPr>
        <w:t>的规定，结合项目实施单位的规章制度以及财务相关资料，评价小组对项目绩效目标进行了进一步的完善，完善后绩效目标如下：</w:t>
      </w:r>
    </w:p>
    <w:p>
      <w:pPr>
        <w:numPr>
          <w:ilvl w:val="0"/>
          <w:numId w:val="4"/>
        </w:numPr>
        <w:ind w:firstLine="560"/>
      </w:pPr>
      <w:r>
        <w:rPr>
          <w:rFonts w:hint="eastAsia"/>
        </w:rPr>
        <w:t>项目产出目标</w:t>
      </w:r>
    </w:p>
    <w:p>
      <w:pPr>
        <w:ind w:firstLine="560"/>
      </w:pPr>
      <w:r>
        <w:rPr>
          <w:rFonts w:hint="eastAsia"/>
        </w:rPr>
        <w:t>①数量指标</w:t>
      </w:r>
    </w:p>
    <w:p>
      <w:pPr>
        <w:ind w:firstLine="560"/>
      </w:pPr>
      <w:r>
        <w:rPr>
          <w:rFonts w:hint="eastAsia"/>
        </w:rPr>
        <w:t>“涉及单位数量（个）”指标，预期指标值为7；</w:t>
      </w:r>
    </w:p>
    <w:p>
      <w:pPr>
        <w:ind w:firstLine="560"/>
      </w:pPr>
      <w:r>
        <w:rPr>
          <w:rFonts w:hint="eastAsia"/>
        </w:rPr>
        <w:t>“保障公务车辆数（辆）”指标，预期指标值为≥4；</w:t>
      </w:r>
    </w:p>
    <w:p>
      <w:pPr>
        <w:ind w:firstLine="560"/>
      </w:pPr>
      <w:r>
        <w:rPr>
          <w:rFonts w:hint="eastAsia"/>
        </w:rPr>
        <w:t>“保障办公面积（平方米）”指标，预期指标值为≥9200；</w:t>
      </w:r>
    </w:p>
    <w:p>
      <w:pPr>
        <w:ind w:firstLine="560"/>
      </w:pPr>
      <w:r>
        <w:rPr>
          <w:rFonts w:hint="eastAsia"/>
        </w:rPr>
        <w:t>“保障办公人员数（人）”指标，预期指标值为≤79；</w:t>
      </w:r>
    </w:p>
    <w:p>
      <w:pPr>
        <w:ind w:firstLine="560"/>
      </w:pPr>
      <w:r>
        <w:rPr>
          <w:rFonts w:hint="eastAsia"/>
        </w:rPr>
        <w:t>“外出优秀骨干教师培训人数(人）”指标，预期指标值为≥10；</w:t>
      </w:r>
    </w:p>
    <w:p>
      <w:pPr>
        <w:ind w:firstLine="560"/>
      </w:pPr>
      <w:r>
        <w:rPr>
          <w:rFonts w:hint="eastAsia"/>
        </w:rPr>
        <w:t>“开展教育教学检查次数（次）”指标，预期指标值为≥14；</w:t>
      </w:r>
    </w:p>
    <w:p>
      <w:pPr>
        <w:ind w:firstLine="560"/>
      </w:pPr>
      <w:r>
        <w:rPr>
          <w:rFonts w:hint="eastAsia"/>
        </w:rPr>
        <w:t>“招生人数（人）”指标，预期指标值为≥1500；</w:t>
      </w:r>
    </w:p>
    <w:p>
      <w:pPr>
        <w:ind w:firstLine="560"/>
      </w:pPr>
      <w:r>
        <w:rPr>
          <w:rFonts w:hint="eastAsia"/>
        </w:rPr>
        <w:t>“非学历教育培训人数（人）”指标，预期指标值为≥600；</w:t>
      </w:r>
    </w:p>
    <w:p>
      <w:pPr>
        <w:ind w:firstLine="560"/>
      </w:pPr>
      <w:r>
        <w:rPr>
          <w:rFonts w:hint="eastAsia"/>
        </w:rPr>
        <w:t>②质量指标</w:t>
      </w:r>
    </w:p>
    <w:p>
      <w:pPr>
        <w:ind w:firstLine="560"/>
      </w:pPr>
      <w:r>
        <w:rPr>
          <w:rFonts w:hint="eastAsia"/>
        </w:rPr>
        <w:t>“公车车辆正常运转率（%）”指标，预期指标值为≥90%；</w:t>
      </w:r>
    </w:p>
    <w:p>
      <w:pPr>
        <w:ind w:firstLine="560"/>
      </w:pPr>
      <w:r>
        <w:rPr>
          <w:rFonts w:hint="eastAsia"/>
        </w:rPr>
        <w:t>“教育教学检查工作完成率（%）”指标，预期指标值为≥90%。</w:t>
      </w:r>
    </w:p>
    <w:p>
      <w:pPr>
        <w:ind w:firstLine="560"/>
      </w:pPr>
      <w:r>
        <w:rPr>
          <w:rFonts w:hint="eastAsia"/>
        </w:rPr>
        <w:t>“招生工作任务完成率（%）”指标，预期指标值为≥90%；</w:t>
      </w:r>
    </w:p>
    <w:p>
      <w:pPr>
        <w:ind w:firstLine="560"/>
      </w:pPr>
      <w:r>
        <w:rPr>
          <w:rFonts w:hint="eastAsia"/>
        </w:rPr>
        <w:t>“政府采购率（%）”指标，预期指标值为100%。</w:t>
      </w:r>
    </w:p>
    <w:p>
      <w:pPr>
        <w:ind w:firstLine="560"/>
      </w:pPr>
      <w:r>
        <w:rPr>
          <w:rFonts w:hint="eastAsia"/>
        </w:rPr>
        <w:t>③时效指标</w:t>
      </w:r>
    </w:p>
    <w:p>
      <w:pPr>
        <w:ind w:firstLine="560"/>
      </w:pPr>
      <w:r>
        <w:rPr>
          <w:rFonts w:hint="eastAsia"/>
        </w:rPr>
        <w:t>“日常工作按计划完成及时率（%）”指标，预期指标值为≥90%；</w:t>
      </w:r>
    </w:p>
    <w:p>
      <w:pPr>
        <w:ind w:firstLine="560"/>
      </w:pPr>
      <w:r>
        <w:rPr>
          <w:rFonts w:hint="eastAsia"/>
        </w:rPr>
        <w:t>“办公用品购置及时率（%）”指标，预期指标值为100%。</w:t>
      </w:r>
    </w:p>
    <w:p>
      <w:pPr>
        <w:ind w:firstLine="560"/>
      </w:pPr>
      <w:r>
        <w:rPr>
          <w:rFonts w:hint="eastAsia"/>
        </w:rPr>
        <w:t>“车辆维修及时率（%）”指标，预期指标值为100%；</w:t>
      </w:r>
    </w:p>
    <w:p>
      <w:pPr>
        <w:ind w:firstLine="560"/>
      </w:pPr>
      <w:r>
        <w:rPr>
          <w:rFonts w:hint="eastAsia"/>
        </w:rPr>
        <w:t>“资金支付及时率（%）”指标，预期指标值为100%</w:t>
      </w:r>
    </w:p>
    <w:p>
      <w:pPr>
        <w:ind w:firstLine="560"/>
      </w:pPr>
      <w:r>
        <w:rPr>
          <w:rFonts w:hint="eastAsia"/>
        </w:rPr>
        <w:t>④成本指标</w:t>
      </w:r>
    </w:p>
    <w:p>
      <w:pPr>
        <w:ind w:firstLine="560"/>
      </w:pPr>
      <w:r>
        <w:rPr>
          <w:rFonts w:hint="eastAsia"/>
        </w:rPr>
        <w:t>“临时工工资支出（万元）”指标，预期指标值为≤55.08；</w:t>
      </w:r>
    </w:p>
    <w:p>
      <w:pPr>
        <w:ind w:firstLine="560"/>
      </w:pPr>
      <w:r>
        <w:rPr>
          <w:rFonts w:hint="eastAsia"/>
        </w:rPr>
        <w:t>“办公费支出（万元）”指标，预期指标值为≤17.5。</w:t>
      </w:r>
    </w:p>
    <w:p>
      <w:pPr>
        <w:ind w:firstLine="560"/>
      </w:pPr>
      <w:r>
        <w:rPr>
          <w:rFonts w:hint="eastAsia"/>
        </w:rPr>
        <w:t>“维修支出（万元）”指标，预期指标值为≤72；</w:t>
      </w:r>
    </w:p>
    <w:p>
      <w:pPr>
        <w:ind w:firstLine="560"/>
      </w:pPr>
      <w:r>
        <w:rPr>
          <w:rFonts w:hint="eastAsia"/>
        </w:rPr>
        <w:t>“差费支出（万元）”指标，预期指标值为≤20。</w:t>
      </w:r>
    </w:p>
    <w:p>
      <w:pPr>
        <w:ind w:firstLine="560"/>
      </w:pPr>
      <w:r>
        <w:rPr>
          <w:rFonts w:hint="eastAsia"/>
        </w:rPr>
        <w:t>“设备购置支出”指标，预期指标值为≤44。</w:t>
      </w:r>
    </w:p>
    <w:p>
      <w:pPr>
        <w:ind w:firstLine="560"/>
      </w:pPr>
      <w:r>
        <w:rPr>
          <w:rFonts w:hint="eastAsia"/>
        </w:rPr>
        <w:t>（2）项目效益目标</w:t>
      </w:r>
    </w:p>
    <w:p>
      <w:pPr>
        <w:ind w:firstLine="560"/>
      </w:pPr>
      <w:r>
        <w:rPr>
          <w:rFonts w:hint="eastAsia"/>
        </w:rPr>
        <w:t>①经济效益指标</w:t>
      </w:r>
    </w:p>
    <w:p>
      <w:pPr>
        <w:ind w:firstLine="560"/>
      </w:pPr>
      <w:r>
        <w:rPr>
          <w:rFonts w:hint="eastAsia"/>
        </w:rPr>
        <w:t>“办公设备设施完好率（%）”指标，预期指标值为100%；</w:t>
      </w:r>
    </w:p>
    <w:p>
      <w:pPr>
        <w:ind w:firstLine="560"/>
      </w:pPr>
      <w:r>
        <w:rPr>
          <w:rFonts w:hint="eastAsia"/>
        </w:rPr>
        <w:t>②社会效益指标</w:t>
      </w:r>
    </w:p>
    <w:p>
      <w:pPr>
        <w:ind w:firstLine="560"/>
      </w:pPr>
      <w:r>
        <w:rPr>
          <w:rFonts w:hint="eastAsia"/>
        </w:rPr>
        <w:t>“教育活动正常开展保障情况”指标，预期指标值为有效保障；</w:t>
      </w:r>
    </w:p>
    <w:p>
      <w:pPr>
        <w:ind w:firstLine="560"/>
      </w:pPr>
      <w:r>
        <w:rPr>
          <w:rFonts w:hint="eastAsia"/>
        </w:rPr>
        <w:t>“教育工作服务水平提升情况”指标，预期指标值为有效提升。</w:t>
      </w:r>
    </w:p>
    <w:p>
      <w:pPr>
        <w:ind w:firstLine="560"/>
      </w:pPr>
      <w:r>
        <w:rPr>
          <w:rFonts w:hint="eastAsia"/>
        </w:rPr>
        <w:t>③生态效益指标</w:t>
      </w:r>
    </w:p>
    <w:p>
      <w:pPr>
        <w:ind w:firstLine="560"/>
      </w:pPr>
      <w:r>
        <w:rPr>
          <w:rFonts w:hint="eastAsia"/>
        </w:rPr>
        <w:t>无</w:t>
      </w:r>
    </w:p>
    <w:p>
      <w:pPr>
        <w:ind w:firstLine="560"/>
      </w:pPr>
      <w:r>
        <w:rPr>
          <w:rFonts w:hint="eastAsia"/>
        </w:rPr>
        <w:t>④可持续影响</w:t>
      </w:r>
    </w:p>
    <w:p>
      <w:pPr>
        <w:ind w:firstLine="560"/>
      </w:pPr>
      <w:r>
        <w:rPr>
          <w:rFonts w:hint="eastAsia"/>
        </w:rPr>
        <w:t>“办学水平提高情况”指标，预期指标值为持续提高；</w:t>
      </w:r>
    </w:p>
    <w:p>
      <w:pPr>
        <w:ind w:firstLine="560"/>
      </w:pPr>
      <w:r>
        <w:rPr>
          <w:rFonts w:hint="eastAsia"/>
        </w:rPr>
        <w:t>“教育工作服务水平提升情况”指标，预期指标值为有效提升。</w:t>
      </w:r>
    </w:p>
    <w:p>
      <w:pPr>
        <w:ind w:firstLine="560"/>
      </w:pPr>
      <w:r>
        <w:rPr>
          <w:rFonts w:hint="eastAsia"/>
        </w:rPr>
        <w:t>（3）相关满意度目标</w:t>
      </w:r>
    </w:p>
    <w:p>
      <w:pPr>
        <w:ind w:firstLine="560"/>
      </w:pPr>
      <w:r>
        <w:rPr>
          <w:rFonts w:hint="eastAsia"/>
        </w:rPr>
        <w:t>①满意度指标</w:t>
      </w:r>
    </w:p>
    <w:p>
      <w:pPr>
        <w:ind w:firstLine="560"/>
      </w:pPr>
      <w:r>
        <w:rPr>
          <w:rFonts w:hint="eastAsia"/>
        </w:rPr>
        <w:t>“教职工满意度（%）”指标，预期指标值为≥90%；</w:t>
      </w:r>
    </w:p>
    <w:p>
      <w:pPr>
        <w:ind w:firstLine="560"/>
      </w:pPr>
      <w:r>
        <w:rPr>
          <w:rFonts w:hint="eastAsia"/>
        </w:rPr>
        <w:t>“学员满意度（%）”指标，预期指标值为≥90%。</w:t>
      </w:r>
    </w:p>
    <w:p>
      <w:pPr>
        <w:pStyle w:val="3"/>
        <w:ind w:firstLine="640"/>
      </w:pPr>
      <w:r>
        <w:rPr>
          <w:rFonts w:hint="eastAsia"/>
        </w:rPr>
        <w:t>二、绩效评价工作开展情况</w:t>
      </w:r>
    </w:p>
    <w:p>
      <w:pPr>
        <w:pStyle w:val="4"/>
        <w:numPr>
          <w:ilvl w:val="0"/>
          <w:numId w:val="5"/>
        </w:numPr>
        <w:ind w:firstLine="643"/>
        <w:rPr>
          <w:rFonts w:ascii="楷体" w:hAnsi="楷体" w:cs="楷体"/>
          <w:szCs w:val="32"/>
        </w:rPr>
      </w:pPr>
      <w:bookmarkStart w:id="2" w:name="_Toc26632"/>
      <w:bookmarkStart w:id="3" w:name="_Toc5462343"/>
      <w:bookmarkStart w:id="4" w:name="_Toc22922"/>
      <w:bookmarkStart w:id="5" w:name="_Toc5258"/>
      <w:bookmarkStart w:id="6" w:name="_Toc12868"/>
      <w:bookmarkStart w:id="7" w:name="_Toc22169_WPSOffice_Level2"/>
      <w:bookmarkStart w:id="8" w:name="_Toc21664"/>
      <w:bookmarkStart w:id="9" w:name="_Toc480473081"/>
      <w:r>
        <w:rPr>
          <w:rFonts w:hint="eastAsia" w:ascii="楷体" w:hAnsi="楷体" w:cs="楷体"/>
          <w:szCs w:val="32"/>
        </w:rPr>
        <w:t>绩效评价的目的</w:t>
      </w:r>
      <w:bookmarkEnd w:id="2"/>
      <w:bookmarkEnd w:id="3"/>
      <w:bookmarkEnd w:id="4"/>
      <w:bookmarkEnd w:id="5"/>
      <w:bookmarkEnd w:id="6"/>
      <w:bookmarkEnd w:id="7"/>
      <w:bookmarkEnd w:id="8"/>
      <w:bookmarkEnd w:id="9"/>
      <w:r>
        <w:rPr>
          <w:rFonts w:hint="eastAsia" w:ascii="楷体" w:hAnsi="楷体" w:cs="楷体"/>
          <w:szCs w:val="32"/>
        </w:rPr>
        <w:t>、对象和范围</w:t>
      </w:r>
    </w:p>
    <w:p>
      <w:pPr>
        <w:pStyle w:val="5"/>
        <w:ind w:firstLine="562"/>
      </w:pPr>
      <w:r>
        <w:rPr>
          <w:rFonts w:hint="eastAsia"/>
        </w:rPr>
        <w:t>1.</w:t>
      </w:r>
      <w:r>
        <w:rPr>
          <w:rFonts w:hint="eastAsia" w:ascii="楷体" w:hAnsi="楷体" w:eastAsia="楷体" w:cs="楷体"/>
          <w:sz w:val="32"/>
        </w:rPr>
        <w:t>绩效评价的目的</w:t>
      </w:r>
    </w:p>
    <w:p>
      <w:pPr>
        <w:spacing w:line="600" w:lineRule="exact"/>
        <w:ind w:firstLine="560"/>
      </w:pPr>
      <w:r>
        <w:rPr>
          <w:rFonts w:hint="eastAsia"/>
        </w:rP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p>
    <w:p>
      <w:pPr>
        <w:pStyle w:val="5"/>
        <w:ind w:firstLine="562"/>
      </w:pPr>
      <w:r>
        <w:rPr>
          <w:rFonts w:hint="eastAsia"/>
        </w:rPr>
        <w:t>2.绩效评价的对象和范围</w:t>
      </w:r>
    </w:p>
    <w:p>
      <w:pPr>
        <w:ind w:firstLine="560"/>
      </w:pPr>
      <w:r>
        <w:rPr>
          <w:rFonts w:hint="eastAsia"/>
        </w:rPr>
        <w:t>此次我单位根据《财政支出绩效评价管理暂行办法》（财预〔2020〕10号）文件要求对2019年度我单位实施的费项目开展部门绩效评价，本次绩效评价主要围绕项目</w:t>
      </w:r>
      <w:r>
        <w:t>资金使用情况、财务管理状况和资产配置、使用、处置及其收益管理情况</w:t>
      </w:r>
      <w:r>
        <w:rPr>
          <w:rFonts w:hint="eastAsia"/>
        </w:rPr>
        <w:t>；项目管理</w:t>
      </w:r>
      <w:r>
        <w:t>相关制度</w:t>
      </w:r>
      <w:r>
        <w:rPr>
          <w:rFonts w:hint="eastAsia"/>
        </w:rPr>
        <w:t>及</w:t>
      </w:r>
      <w:r>
        <w:t>措施</w:t>
      </w:r>
      <w:r>
        <w:rPr>
          <w:rFonts w:hint="eastAsia"/>
        </w:rPr>
        <w:t>是否被认真执行</w:t>
      </w:r>
      <w:r>
        <w:t>；绩效目标的实现程度，包括是否达到预定产出和效果等</w:t>
      </w:r>
      <w:r>
        <w:rPr>
          <w:rFonts w:hint="eastAsia"/>
        </w:rPr>
        <w:t>方面进行部门绩效评价。</w:t>
      </w:r>
    </w:p>
    <w:p>
      <w:pPr>
        <w:pStyle w:val="4"/>
        <w:numPr>
          <w:ilvl w:val="0"/>
          <w:numId w:val="5"/>
        </w:numPr>
        <w:ind w:firstLine="643"/>
      </w:pPr>
      <w:r>
        <w:rPr>
          <w:rFonts w:hint="eastAsia"/>
        </w:rPr>
        <w:t>评价工作简述</w:t>
      </w:r>
    </w:p>
    <w:p>
      <w:pPr>
        <w:pStyle w:val="5"/>
        <w:ind w:firstLine="562"/>
      </w:pPr>
      <w:r>
        <w:rPr>
          <w:rFonts w:hint="eastAsia"/>
        </w:rPr>
        <w:t>1.绩效评价原则</w:t>
      </w:r>
    </w:p>
    <w:p>
      <w:pPr>
        <w:spacing w:line="600" w:lineRule="exact"/>
        <w:ind w:firstLine="560"/>
      </w:pPr>
      <w:r>
        <w:rPr>
          <w:rFonts w:hint="eastAsia"/>
        </w:rPr>
        <w:t>依据</w:t>
      </w:r>
      <w:r>
        <w:rPr>
          <w:rFonts w:hint="eastAsia"/>
          <w:lang w:eastAsia="zh-CN"/>
        </w:rPr>
        <w:t>相关规定</w:t>
      </w:r>
      <w:r>
        <w:rPr>
          <w:rFonts w:hint="eastAsia"/>
        </w:rPr>
        <w:t>等要求，本次绩效评价秉承科学规范、公正公开、分级分类、绩效相关等原则，按照从投入、过程到产出效果和影响的绩效逻辑路径，结合公务费项目实际开展情况，运用定量和定性分析相结合的方法，总结经验做法，反思项目实施和管理中的问题，以切实提升财政资金管理的科学化、规范化和精细化水平。</w:t>
      </w:r>
    </w:p>
    <w:p>
      <w:pPr>
        <w:spacing w:line="600" w:lineRule="exact"/>
        <w:ind w:firstLine="560"/>
      </w:pPr>
      <w:r>
        <w:rPr>
          <w:rFonts w:hint="eastAsia"/>
        </w:rPr>
        <w:t>根据以上原则，绩效评价应遵循如下要求：</w:t>
      </w:r>
    </w:p>
    <w:p>
      <w:pPr>
        <w:spacing w:line="600" w:lineRule="exact"/>
        <w:ind w:firstLine="560"/>
      </w:pPr>
      <w:r>
        <w:rPr>
          <w:rFonts w:hint="eastAsia"/>
        </w:rPr>
        <w:t>（1）在数据采集时，采取客观数据，主管部门审查、社会中介组织复查，与问卷调查相结合的形式，以保证各项指标的真实性。</w:t>
      </w:r>
    </w:p>
    <w:p>
      <w:pPr>
        <w:spacing w:line="600" w:lineRule="exact"/>
        <w:ind w:firstLine="560"/>
      </w:pPr>
      <w:r>
        <w:rPr>
          <w:rFonts w:hint="eastAsia"/>
        </w:rPr>
        <w:t>（2）保证评价结果的真实性、公正性，提高评价报告的公信力。</w:t>
      </w:r>
    </w:p>
    <w:p>
      <w:pPr>
        <w:spacing w:line="600" w:lineRule="exact"/>
        <w:ind w:firstLine="560"/>
      </w:pPr>
      <w:r>
        <w:rPr>
          <w:rFonts w:hint="eastAsia"/>
        </w:rPr>
        <w:t>（3）绩效评价报告应当简明扼要，除了对绩效评价的过程、结果描述外，还应总结经验，指出问题，并就共性问题提出可操作性改进建议。</w:t>
      </w:r>
    </w:p>
    <w:p>
      <w:pPr>
        <w:pStyle w:val="5"/>
        <w:ind w:firstLine="562"/>
      </w:pPr>
      <w:bookmarkStart w:id="10" w:name="_Toc26131"/>
      <w:bookmarkStart w:id="11" w:name="_Toc419984722"/>
      <w:bookmarkStart w:id="12" w:name="_Toc428278230"/>
      <w:bookmarkStart w:id="13" w:name="_Toc1913"/>
      <w:r>
        <w:rPr>
          <w:rFonts w:hint="eastAsia"/>
        </w:rPr>
        <w:t>2.绩效评价指标体系</w:t>
      </w:r>
      <w:bookmarkEnd w:id="10"/>
      <w:bookmarkEnd w:id="11"/>
      <w:bookmarkEnd w:id="12"/>
      <w:bookmarkEnd w:id="13"/>
    </w:p>
    <w:p>
      <w:pPr>
        <w:pStyle w:val="5"/>
        <w:ind w:firstLine="562"/>
        <w:rPr>
          <w:rFonts w:hint="eastAsia"/>
          <w:lang w:val="zh-TW" w:eastAsia="zh-TW"/>
        </w:rPr>
      </w:pPr>
      <w:r>
        <w:rPr>
          <w:rFonts w:hint="eastAsia"/>
        </w:rPr>
        <w:t>我单位</w:t>
      </w:r>
      <w:r>
        <w:rPr>
          <w:rFonts w:hint="eastAsia"/>
          <w:lang w:val="zh-TW" w:eastAsia="zh-TW"/>
        </w:rPr>
        <w:t>根据项目的</w:t>
      </w:r>
      <w:r>
        <w:rPr>
          <w:rFonts w:hint="eastAsia"/>
        </w:rPr>
        <w:t>实施</w:t>
      </w:r>
      <w:r>
        <w:rPr>
          <w:rFonts w:hint="eastAsia"/>
          <w:lang w:val="zh-TW" w:eastAsia="zh-TW"/>
        </w:rPr>
        <w:t>资料研读及前期调研，结合项目的实际开展情况，将项目的指标体系进行了调整和完善</w:t>
      </w:r>
      <w:r>
        <w:rPr>
          <w:rFonts w:hint="eastAsia"/>
          <w:lang w:val="zh-TW"/>
        </w:rPr>
        <w:t>，</w:t>
      </w:r>
      <w:r>
        <w:rPr>
          <w:rFonts w:hint="eastAsia"/>
          <w:lang w:val="zh-TW" w:eastAsia="zh-TW"/>
        </w:rPr>
        <w:t>最终形成了项目绩效评价指标体系</w:t>
      </w:r>
    </w:p>
    <w:p>
      <w:pPr>
        <w:pStyle w:val="5"/>
        <w:ind w:firstLine="562"/>
      </w:pPr>
      <w:r>
        <w:rPr>
          <w:rFonts w:hint="eastAsia"/>
        </w:rPr>
        <w:t>3.评价方法</w:t>
      </w:r>
    </w:p>
    <w:p>
      <w:pPr>
        <w:ind w:firstLine="560"/>
      </w:pPr>
      <w:r>
        <w:rPr>
          <w:rFonts w:hint="eastAsia"/>
        </w:rPr>
        <w:t>本次绩效评价采用的方法比较法、公众评判法对项目绩效目标预期指标值与实施情况进行比较，以及采取公众问卷及抽样调查等方式进行评判的方法对该项目进行评价。</w:t>
      </w:r>
    </w:p>
    <w:p>
      <w:pPr>
        <w:pStyle w:val="5"/>
        <w:ind w:firstLine="562"/>
      </w:pPr>
      <w:r>
        <w:rPr>
          <w:rFonts w:hint="eastAsia"/>
        </w:rPr>
        <w:t>4.评价标准</w:t>
      </w:r>
    </w:p>
    <w:p>
      <w:pPr>
        <w:ind w:firstLine="560"/>
      </w:pPr>
      <w:r>
        <w:rPr>
          <w:rFonts w:hint="eastAsia"/>
        </w:rPr>
        <w:t>本次绩效评价采用的标准计划标准、行业标准、历史标准对绩效指标完成情况进行对比。</w:t>
      </w:r>
    </w:p>
    <w:p>
      <w:pPr>
        <w:pStyle w:val="4"/>
        <w:numPr>
          <w:ilvl w:val="0"/>
          <w:numId w:val="5"/>
        </w:numPr>
        <w:ind w:firstLine="643"/>
      </w:pPr>
      <w:r>
        <w:rPr>
          <w:rFonts w:hint="eastAsia"/>
        </w:rPr>
        <w:t>绩效评价工作过程</w:t>
      </w:r>
    </w:p>
    <w:p>
      <w:pPr>
        <w:ind w:left="560" w:leftChars="200" w:firstLine="560"/>
      </w:pPr>
      <w:r>
        <w:rPr>
          <w:rFonts w:hint="eastAsia"/>
        </w:rPr>
        <w:t>本次评价设计了评价方案、评价指标体系，通过资料分析、调研、访谈满意度调查等方式形成评价结论，确定评价意见，并出具评价报告。　</w:t>
      </w:r>
    </w:p>
    <w:p>
      <w:pPr>
        <w:pStyle w:val="3"/>
        <w:numPr>
          <w:ilvl w:val="0"/>
          <w:numId w:val="6"/>
        </w:numPr>
        <w:ind w:firstLine="640"/>
      </w:pPr>
      <w:r>
        <w:rPr>
          <w:rFonts w:hint="eastAsia"/>
        </w:rPr>
        <w:t>综合评价情况及评价结论</w:t>
      </w:r>
    </w:p>
    <w:p>
      <w:pPr>
        <w:ind w:firstLine="560"/>
        <w:rPr>
          <w:lang w:val="zh-TW" w:eastAsia="zh-TW"/>
        </w:rPr>
      </w:pPr>
      <w:r>
        <w:rPr>
          <w:rFonts w:hint="eastAsia"/>
        </w:rPr>
        <w:t>此次绩效评价</w:t>
      </w:r>
      <w:r>
        <w:rPr>
          <w:rFonts w:hint="eastAsia"/>
          <w:lang w:val="zh-TW" w:eastAsia="zh-TW"/>
        </w:rPr>
        <w:t>通过组论证的评价指标体系及评分标准，</w:t>
      </w:r>
      <w:r>
        <w:rPr>
          <w:rFonts w:hint="eastAsia"/>
        </w:rPr>
        <w:t>采用的方法比较法、公众评判法，</w:t>
      </w:r>
      <w:r>
        <w:rPr>
          <w:rFonts w:hint="eastAsia"/>
          <w:lang w:val="zh-TW" w:eastAsia="zh-TW"/>
        </w:rPr>
        <w:t>对</w:t>
      </w:r>
      <w:r>
        <w:rPr>
          <w:rFonts w:hint="eastAsia"/>
        </w:rPr>
        <w:t>公务费项目</w:t>
      </w:r>
      <w:r>
        <w:rPr>
          <w:rFonts w:hint="eastAsia"/>
          <w:lang w:val="zh-TW" w:eastAsia="zh-TW"/>
        </w:rPr>
        <w:t>绩效进行客观评价，最终评分结果：总分为</w:t>
      </w:r>
      <w:r>
        <w:rPr>
          <w:rFonts w:hint="eastAsia"/>
        </w:rPr>
        <w:t>89</w:t>
      </w:r>
      <w:r>
        <w:rPr>
          <w:rFonts w:hint="eastAsia"/>
          <w:lang w:val="zh-TW" w:eastAsia="zh-TW"/>
        </w:rPr>
        <w:t>分，绩效评级为“</w:t>
      </w:r>
      <w:r>
        <w:rPr>
          <w:rFonts w:hint="eastAsia"/>
        </w:rPr>
        <w:t>良</w:t>
      </w:r>
      <w:r>
        <w:rPr>
          <w:rFonts w:hint="eastAsia"/>
          <w:lang w:val="zh-TW" w:eastAsia="zh-TW"/>
        </w:rPr>
        <w:t>”。各部分权重和绩效</w:t>
      </w:r>
      <w:r>
        <w:rPr>
          <w:rFonts w:hint="eastAsia"/>
        </w:rPr>
        <w:t>汇总</w:t>
      </w:r>
      <w:r>
        <w:rPr>
          <w:rFonts w:hint="eastAsia"/>
          <w:lang w:val="zh-TW" w:eastAsia="zh-TW"/>
        </w:rPr>
        <w:t>分值如下表所示：</w:t>
      </w:r>
    </w:p>
    <w:tbl>
      <w:tblPr>
        <w:tblStyle w:val="13"/>
        <w:tblW w:w="8290" w:type="dxa"/>
        <w:jc w:val="center"/>
        <w:tblInd w:w="0" w:type="dxa"/>
        <w:tblLayout w:type="fixed"/>
        <w:tblCellMar>
          <w:top w:w="0" w:type="dxa"/>
          <w:left w:w="0" w:type="dxa"/>
          <w:bottom w:w="0" w:type="dxa"/>
          <w:right w:w="0" w:type="dxa"/>
        </w:tblCellMar>
      </w:tblPr>
      <w:tblGrid>
        <w:gridCol w:w="1094"/>
        <w:gridCol w:w="1361"/>
        <w:gridCol w:w="1361"/>
        <w:gridCol w:w="1361"/>
        <w:gridCol w:w="1623"/>
        <w:gridCol w:w="1490"/>
      </w:tblGrid>
      <w:tr>
        <w:tblPrEx>
          <w:tblLayout w:type="fixed"/>
          <w:tblCellMar>
            <w:top w:w="0" w:type="dxa"/>
            <w:left w:w="0" w:type="dxa"/>
            <w:bottom w:w="0" w:type="dxa"/>
            <w:right w:w="0" w:type="dxa"/>
          </w:tblCellMar>
        </w:tblPrEx>
        <w:trPr>
          <w:trHeight w:val="375" w:hRule="atLeast"/>
          <w:jc w:val="center"/>
        </w:trPr>
        <w:tc>
          <w:tcPr>
            <w:tcW w:w="8290" w:type="dxa"/>
            <w:gridSpan w:val="6"/>
            <w:tcBorders>
              <w:top w:val="nil"/>
              <w:left w:val="nil"/>
              <w:bottom w:val="nil"/>
              <w:right w:val="nil"/>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sz w:val="24"/>
              </w:rPr>
            </w:pPr>
            <w:r>
              <w:rPr>
                <w:rFonts w:hint="eastAsia" w:ascii="宋体" w:hAnsi="宋体" w:eastAsia="宋体" w:cs="宋体"/>
                <w:b/>
                <w:kern w:val="0"/>
                <w:sz w:val="24"/>
                <w:lang w:bidi="ar"/>
              </w:rPr>
              <w:t>表3-1：公务费项目得分表</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bCs/>
                <w:sz w:val="24"/>
              </w:rPr>
            </w:pPr>
            <w:r>
              <w:rPr>
                <w:rFonts w:hint="eastAsia" w:ascii="宋体" w:hAnsi="宋体" w:eastAsia="宋体" w:cs="宋体"/>
                <w:b/>
                <w:bCs/>
                <w:kern w:val="0"/>
                <w:sz w:val="24"/>
                <w:lang w:bidi="ar"/>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bCs/>
                <w:sz w:val="24"/>
              </w:rPr>
            </w:pPr>
            <w:r>
              <w:rPr>
                <w:rFonts w:hint="eastAsia" w:ascii="宋体" w:hAnsi="宋体" w:eastAsia="宋体" w:cs="宋体"/>
                <w:b/>
                <w:bCs/>
                <w:kern w:val="0"/>
                <w:sz w:val="24"/>
                <w:lang w:bidi="ar"/>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bCs/>
                <w:sz w:val="24"/>
              </w:rPr>
            </w:pPr>
            <w:r>
              <w:rPr>
                <w:rFonts w:hint="eastAsia" w:ascii="宋体" w:hAnsi="宋体" w:eastAsia="宋体" w:cs="宋体"/>
                <w:b/>
                <w:bCs/>
                <w:kern w:val="0"/>
                <w:sz w:val="24"/>
                <w:lang w:bidi="ar"/>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bCs/>
                <w:sz w:val="24"/>
              </w:rPr>
            </w:pPr>
            <w:r>
              <w:rPr>
                <w:rFonts w:hint="eastAsia" w:ascii="宋体" w:hAnsi="宋体" w:eastAsia="宋体" w:cs="宋体"/>
                <w:b/>
                <w:bCs/>
                <w:kern w:val="0"/>
                <w:sz w:val="24"/>
                <w:lang w:bidi="ar"/>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bCs/>
                <w:sz w:val="24"/>
              </w:rPr>
            </w:pPr>
            <w:r>
              <w:rPr>
                <w:rFonts w:hint="eastAsia" w:ascii="宋体" w:hAnsi="宋体" w:eastAsia="宋体" w:cs="宋体"/>
                <w:b/>
                <w:bCs/>
                <w:kern w:val="0"/>
                <w:sz w:val="24"/>
                <w:lang w:bidi="ar"/>
              </w:rPr>
              <w:t>4.项目效益</w:t>
            </w:r>
          </w:p>
        </w:tc>
        <w:tc>
          <w:tcPr>
            <w:tcW w:w="14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bCs/>
                <w:sz w:val="24"/>
              </w:rPr>
            </w:pPr>
            <w:r>
              <w:rPr>
                <w:rFonts w:hint="eastAsia" w:ascii="宋体" w:hAnsi="宋体" w:eastAsia="宋体" w:cs="宋体"/>
                <w:b/>
                <w:bCs/>
                <w:kern w:val="0"/>
                <w:sz w:val="24"/>
                <w:lang w:bidi="ar"/>
              </w:rPr>
              <w:t>合计</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bCs/>
                <w:sz w:val="24"/>
              </w:rPr>
            </w:pPr>
            <w:r>
              <w:rPr>
                <w:rFonts w:hint="eastAsia" w:ascii="宋体" w:hAnsi="宋体" w:eastAsia="宋体" w:cs="宋体"/>
                <w:b/>
                <w:bCs/>
                <w:kern w:val="0"/>
                <w:sz w:val="24"/>
                <w:lang w:bidi="ar"/>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right"/>
              <w:textAlignment w:val="center"/>
              <w:rPr>
                <w:rFonts w:ascii="宋体" w:hAnsi="宋体" w:eastAsia="宋体" w:cs="宋体"/>
                <w:sz w:val="24"/>
              </w:rPr>
            </w:pPr>
            <w:r>
              <w:rPr>
                <w:rFonts w:hint="eastAsia" w:ascii="宋体" w:hAnsi="宋体" w:eastAsia="宋体" w:cs="宋体"/>
                <w:kern w:val="0"/>
                <w:sz w:val="24"/>
                <w:lang w:bidi="ar"/>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right"/>
              <w:textAlignment w:val="center"/>
              <w:rPr>
                <w:rFonts w:ascii="宋体" w:hAnsi="宋体" w:eastAsia="宋体" w:cs="宋体"/>
                <w:sz w:val="24"/>
              </w:rPr>
            </w:pPr>
            <w:r>
              <w:rPr>
                <w:rFonts w:hint="eastAsia" w:ascii="宋体" w:hAnsi="宋体" w:eastAsia="宋体" w:cs="宋体"/>
                <w:kern w:val="0"/>
                <w:sz w:val="24"/>
                <w:lang w:bidi="ar"/>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right"/>
              <w:textAlignment w:val="center"/>
              <w:rPr>
                <w:rFonts w:ascii="宋体" w:hAnsi="宋体" w:eastAsia="宋体" w:cs="宋体"/>
                <w:kern w:val="0"/>
                <w:sz w:val="24"/>
                <w:lang w:bidi="ar"/>
              </w:rPr>
            </w:pPr>
            <w:r>
              <w:rPr>
                <w:rFonts w:hint="eastAsia" w:ascii="宋体" w:hAnsi="宋体" w:eastAsia="宋体" w:cs="宋体"/>
                <w:kern w:val="0"/>
                <w:sz w:val="24"/>
                <w:lang w:bidi="ar"/>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right"/>
              <w:textAlignment w:val="center"/>
              <w:rPr>
                <w:rFonts w:ascii="宋体" w:hAnsi="宋体" w:eastAsia="宋体" w:cs="宋体"/>
                <w:kern w:val="0"/>
                <w:sz w:val="24"/>
                <w:lang w:bidi="ar"/>
              </w:rPr>
            </w:pPr>
            <w:r>
              <w:rPr>
                <w:rFonts w:hint="eastAsia" w:ascii="宋体" w:hAnsi="宋体" w:eastAsia="宋体" w:cs="宋体"/>
                <w:kern w:val="0"/>
                <w:sz w:val="24"/>
                <w:lang w:bidi="ar"/>
              </w:rPr>
              <w:t>30</w:t>
            </w:r>
          </w:p>
        </w:tc>
        <w:tc>
          <w:tcPr>
            <w:tcW w:w="14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right"/>
              <w:textAlignment w:val="center"/>
              <w:rPr>
                <w:rFonts w:ascii="宋体" w:hAnsi="宋体" w:eastAsia="宋体" w:cs="宋体"/>
                <w:sz w:val="24"/>
              </w:rPr>
            </w:pPr>
            <w:r>
              <w:rPr>
                <w:rFonts w:hint="eastAsia" w:ascii="宋体" w:hAnsi="宋体" w:eastAsia="宋体" w:cs="宋体"/>
                <w:kern w:val="0"/>
                <w:sz w:val="24"/>
                <w:lang w:bidi="ar"/>
              </w:rPr>
              <w:t>100</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bCs/>
                <w:sz w:val="24"/>
              </w:rPr>
            </w:pPr>
            <w:r>
              <w:rPr>
                <w:rFonts w:hint="eastAsia" w:ascii="宋体" w:hAnsi="宋体" w:eastAsia="宋体" w:cs="宋体"/>
                <w:b/>
                <w:bCs/>
                <w:kern w:val="0"/>
                <w:sz w:val="24"/>
                <w:lang w:bidi="ar"/>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right"/>
              <w:textAlignment w:val="center"/>
              <w:rPr>
                <w:rFonts w:ascii="宋体" w:hAnsi="宋体" w:eastAsia="宋体" w:cs="宋体"/>
                <w:sz w:val="24"/>
              </w:rPr>
            </w:pPr>
            <w:r>
              <w:rPr>
                <w:rFonts w:hint="eastAsia" w:ascii="宋体" w:hAnsi="宋体" w:eastAsia="宋体" w:cs="宋体"/>
                <w:kern w:val="0"/>
                <w:sz w:val="24"/>
                <w:lang w:bidi="ar"/>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right"/>
              <w:textAlignment w:val="center"/>
              <w:rPr>
                <w:rFonts w:ascii="宋体" w:hAnsi="宋体" w:eastAsia="宋体" w:cs="宋体"/>
                <w:sz w:val="24"/>
              </w:rPr>
            </w:pPr>
            <w:r>
              <w:rPr>
                <w:rFonts w:hint="eastAsia" w:ascii="宋体" w:hAnsi="宋体" w:eastAsia="宋体" w:cs="宋体"/>
                <w:kern w:val="0"/>
                <w:sz w:val="24"/>
                <w:lang w:bidi="ar"/>
              </w:rPr>
              <w:t>18</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right"/>
              <w:textAlignment w:val="center"/>
              <w:rPr>
                <w:rFonts w:ascii="宋体" w:hAnsi="宋体" w:eastAsia="宋体" w:cs="宋体"/>
                <w:sz w:val="24"/>
              </w:rPr>
            </w:pPr>
            <w:r>
              <w:rPr>
                <w:rFonts w:hint="eastAsia" w:ascii="宋体" w:hAnsi="宋体" w:eastAsia="宋体" w:cs="宋体"/>
                <w:kern w:val="0"/>
                <w:sz w:val="24"/>
                <w:lang w:bidi="ar"/>
              </w:rPr>
              <w:t>28</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right"/>
              <w:textAlignment w:val="center"/>
              <w:rPr>
                <w:rFonts w:ascii="宋体" w:hAnsi="宋体" w:eastAsia="宋体" w:cs="宋体"/>
                <w:sz w:val="24"/>
              </w:rPr>
            </w:pPr>
            <w:r>
              <w:rPr>
                <w:rFonts w:hint="eastAsia" w:ascii="宋体" w:hAnsi="宋体" w:eastAsia="宋体" w:cs="宋体"/>
                <w:kern w:val="0"/>
                <w:sz w:val="24"/>
                <w:lang w:bidi="ar"/>
              </w:rPr>
              <w:t>23</w:t>
            </w:r>
          </w:p>
        </w:tc>
        <w:tc>
          <w:tcPr>
            <w:tcW w:w="14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right"/>
              <w:textAlignment w:val="center"/>
              <w:rPr>
                <w:rFonts w:ascii="宋体" w:hAnsi="宋体" w:eastAsia="宋体" w:cs="宋体"/>
                <w:sz w:val="24"/>
              </w:rPr>
            </w:pPr>
            <w:r>
              <w:rPr>
                <w:rFonts w:hint="eastAsia" w:ascii="宋体" w:hAnsi="宋体" w:eastAsia="宋体" w:cs="宋体"/>
                <w:kern w:val="0"/>
                <w:sz w:val="24"/>
                <w:lang w:bidi="ar"/>
              </w:rPr>
              <w:t>89</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bCs/>
                <w:sz w:val="24"/>
              </w:rPr>
            </w:pPr>
            <w:r>
              <w:rPr>
                <w:rFonts w:hint="eastAsia" w:ascii="宋体" w:hAnsi="宋体" w:eastAsia="宋体" w:cs="宋体"/>
                <w:b/>
                <w:bCs/>
                <w:kern w:val="0"/>
                <w:sz w:val="24"/>
                <w:lang w:bidi="ar"/>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right"/>
              <w:textAlignment w:val="center"/>
              <w:rPr>
                <w:rFonts w:ascii="宋体" w:hAnsi="宋体" w:eastAsia="宋体" w:cs="宋体"/>
                <w:sz w:val="24"/>
              </w:rPr>
            </w:pPr>
            <w:r>
              <w:rPr>
                <w:rFonts w:hint="eastAsia" w:ascii="宋体" w:hAnsi="宋体" w:eastAsia="宋体" w:cs="宋体"/>
                <w:kern w:val="0"/>
                <w:sz w:val="24"/>
                <w:lang w:bidi="ar"/>
              </w:rPr>
              <w:t>100%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right"/>
              <w:textAlignment w:val="center"/>
              <w:rPr>
                <w:rFonts w:ascii="宋体" w:hAnsi="宋体" w:eastAsia="宋体" w:cs="宋体"/>
                <w:sz w:val="24"/>
              </w:rPr>
            </w:pPr>
            <w:r>
              <w:rPr>
                <w:rFonts w:hint="eastAsia" w:ascii="宋体" w:hAnsi="宋体" w:eastAsia="宋体" w:cs="宋体"/>
                <w:kern w:val="0"/>
                <w:sz w:val="24"/>
                <w:lang w:bidi="ar"/>
              </w:rPr>
              <w:t>90%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right"/>
              <w:textAlignment w:val="center"/>
              <w:rPr>
                <w:rFonts w:ascii="宋体" w:hAnsi="宋体" w:eastAsia="宋体" w:cs="宋体"/>
                <w:sz w:val="24"/>
              </w:rPr>
            </w:pPr>
            <w:r>
              <w:rPr>
                <w:rFonts w:hint="eastAsia" w:ascii="宋体" w:hAnsi="宋体" w:eastAsia="宋体" w:cs="宋体"/>
                <w:kern w:val="0"/>
                <w:sz w:val="24"/>
                <w:lang w:bidi="ar"/>
              </w:rPr>
              <w:t>93%</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right"/>
              <w:textAlignment w:val="center"/>
              <w:rPr>
                <w:rFonts w:ascii="宋体" w:hAnsi="宋体" w:eastAsia="宋体" w:cs="宋体"/>
                <w:sz w:val="24"/>
              </w:rPr>
            </w:pPr>
            <w:r>
              <w:rPr>
                <w:rFonts w:hint="eastAsia" w:ascii="宋体" w:hAnsi="宋体" w:eastAsia="宋体" w:cs="宋体"/>
                <w:kern w:val="0"/>
                <w:sz w:val="24"/>
                <w:lang w:bidi="ar"/>
              </w:rPr>
              <w:t>77%</w:t>
            </w:r>
          </w:p>
        </w:tc>
        <w:tc>
          <w:tcPr>
            <w:tcW w:w="14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right"/>
              <w:textAlignment w:val="center"/>
              <w:rPr>
                <w:rFonts w:ascii="宋体" w:hAnsi="宋体" w:eastAsia="宋体" w:cs="宋体"/>
                <w:sz w:val="24"/>
              </w:rPr>
            </w:pPr>
            <w:r>
              <w:rPr>
                <w:rFonts w:hint="eastAsia" w:ascii="宋体" w:hAnsi="宋体" w:eastAsia="宋体" w:cs="宋体"/>
                <w:kern w:val="0"/>
                <w:sz w:val="24"/>
                <w:lang w:bidi="ar"/>
              </w:rPr>
              <w:t>89%</w:t>
            </w:r>
          </w:p>
        </w:tc>
      </w:tr>
    </w:tbl>
    <w:p>
      <w:pPr>
        <w:pStyle w:val="3"/>
        <w:ind w:firstLine="640"/>
      </w:pPr>
      <w:r>
        <w:rPr>
          <w:rFonts w:hint="eastAsia"/>
        </w:rPr>
        <w:t>四、绩效评价指标分析</w:t>
      </w:r>
    </w:p>
    <w:p>
      <w:pPr>
        <w:pStyle w:val="4"/>
        <w:ind w:firstLine="643"/>
      </w:pPr>
      <w:r>
        <w:rPr>
          <w:rFonts w:hint="eastAsia"/>
        </w:rPr>
        <w:t>（一）项目决策情况</w:t>
      </w:r>
    </w:p>
    <w:p>
      <w:pPr>
        <w:ind w:firstLine="560"/>
      </w:pPr>
      <w:r>
        <w:rPr>
          <w:rFonts w:hint="eastAsia"/>
        </w:rPr>
        <w:t>项目决策由3个二级指标和6个三级指标构成，权重分20分，实际得分20分，</w:t>
      </w:r>
      <w:r>
        <w:rPr>
          <w:rFonts w:hint="eastAsia"/>
          <w:u w:color="000000"/>
          <w:lang w:val="zh-TW" w:eastAsia="zh-TW"/>
        </w:rPr>
        <w:t>各指标业绩值和绩效分值如表</w:t>
      </w:r>
      <w:r>
        <w:rPr>
          <w:rFonts w:hint="eastAsia"/>
          <w:u w:color="000000"/>
        </w:rPr>
        <w:t>4</w:t>
      </w:r>
      <w:r>
        <w:rPr>
          <w:u w:color="000000"/>
        </w:rPr>
        <w:t>-1</w:t>
      </w:r>
      <w:r>
        <w:rPr>
          <w:rFonts w:hint="eastAsia"/>
          <w:u w:color="000000"/>
          <w:lang w:val="zh-TW" w:eastAsia="zh-TW"/>
        </w:rPr>
        <w:t>所示</w:t>
      </w:r>
      <w:r>
        <w:rPr>
          <w:rFonts w:hint="eastAsia"/>
        </w:rPr>
        <w:t>：</w:t>
      </w:r>
    </w:p>
    <w:p>
      <w:pPr>
        <w:keepNext/>
        <w:keepLines/>
        <w:ind w:firstLine="562"/>
        <w:jc w:val="center"/>
      </w:pPr>
      <w:r>
        <w:rPr>
          <w:rFonts w:hint="eastAsia"/>
          <w:b/>
          <w:bCs/>
          <w:u w:color="000000"/>
          <w:lang w:val="zh-TW" w:eastAsia="zh-TW"/>
        </w:rPr>
        <w:t>表</w:t>
      </w:r>
      <w:r>
        <w:rPr>
          <w:rFonts w:hint="eastAsia"/>
          <w:b/>
          <w:bCs/>
          <w:u w:color="000000"/>
        </w:rPr>
        <w:t>4</w:t>
      </w:r>
      <w:r>
        <w:rPr>
          <w:b/>
          <w:bCs/>
          <w:u w:color="000000"/>
        </w:rPr>
        <w:t>-1</w:t>
      </w:r>
      <w:r>
        <w:rPr>
          <w:rFonts w:hint="eastAsia"/>
          <w:b/>
          <w:bCs/>
          <w:u w:color="000000"/>
          <w:lang w:val="zh-TW" w:eastAsia="zh-TW"/>
        </w:rPr>
        <w:t>项目决策指标及分值</w:t>
      </w:r>
    </w:p>
    <w:tbl>
      <w:tblPr>
        <w:tblStyle w:val="13"/>
        <w:tblW w:w="8447" w:type="dxa"/>
        <w:jc w:val="center"/>
        <w:tblInd w:w="0" w:type="dxa"/>
        <w:tblLayout w:type="fixed"/>
        <w:tblCellMar>
          <w:top w:w="0" w:type="dxa"/>
          <w:left w:w="0" w:type="dxa"/>
          <w:bottom w:w="0" w:type="dxa"/>
          <w:right w:w="0" w:type="dxa"/>
        </w:tblCellMar>
      </w:tblPr>
      <w:tblGrid>
        <w:gridCol w:w="1077"/>
        <w:gridCol w:w="960"/>
        <w:gridCol w:w="1251"/>
        <w:gridCol w:w="794"/>
        <w:gridCol w:w="1871"/>
        <w:gridCol w:w="1417"/>
        <w:gridCol w:w="1077"/>
      </w:tblGrid>
      <w:tr>
        <w:tblPrEx>
          <w:tblLayout w:type="fixed"/>
          <w:tblCellMar>
            <w:top w:w="0" w:type="dxa"/>
            <w:left w:w="0" w:type="dxa"/>
            <w:bottom w:w="0" w:type="dxa"/>
            <w:right w:w="0" w:type="dxa"/>
          </w:tblCellMar>
        </w:tblPrEx>
        <w:trPr>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分值</w:t>
            </w:r>
          </w:p>
        </w:tc>
        <w:tc>
          <w:tcPr>
            <w:tcW w:w="125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分值</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三级指标</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分值</w:t>
            </w:r>
          </w:p>
        </w:tc>
        <w:tc>
          <w:tcPr>
            <w:tcW w:w="1077"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得分</w:t>
            </w:r>
          </w:p>
        </w:tc>
      </w:tr>
      <w:tr>
        <w:tblPrEx>
          <w:tblLayout w:type="fixed"/>
          <w:tblCellMar>
            <w:top w:w="0" w:type="dxa"/>
            <w:left w:w="0" w:type="dxa"/>
            <w:bottom w:w="0" w:type="dxa"/>
            <w:right w:w="0" w:type="dxa"/>
          </w:tblCellMar>
        </w:tblPrEx>
        <w:trPr>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20</w:t>
            </w:r>
          </w:p>
        </w:tc>
        <w:tc>
          <w:tcPr>
            <w:tcW w:w="1251"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项目立项　</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5</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kern w:val="0"/>
                <w:sz w:val="24"/>
                <w:lang w:bidi="ar"/>
              </w:rPr>
              <w:t>立项依据充分性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2</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2</w:t>
            </w:r>
          </w:p>
        </w:tc>
      </w:tr>
      <w:tr>
        <w:tblPrEx>
          <w:tblLayout w:type="fixed"/>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sz w:val="24"/>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sz w:val="24"/>
              </w:rPr>
            </w:pPr>
          </w:p>
        </w:tc>
        <w:tc>
          <w:tcPr>
            <w:tcW w:w="1251"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sz w:val="24"/>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sz w:val="24"/>
              </w:rPr>
            </w:pP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kern w:val="0"/>
                <w:sz w:val="24"/>
                <w:lang w:bidi="ar"/>
              </w:rPr>
              <w:t>立项程序规范性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3</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3</w:t>
            </w:r>
          </w:p>
        </w:tc>
      </w:tr>
      <w:tr>
        <w:tblPrEx>
          <w:tblLayout w:type="fixed"/>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sz w:val="24"/>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sz w:val="24"/>
              </w:rPr>
            </w:pPr>
          </w:p>
        </w:tc>
        <w:tc>
          <w:tcPr>
            <w:tcW w:w="1251"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10</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kern w:val="0"/>
                <w:sz w:val="24"/>
                <w:lang w:bidi="ar"/>
              </w:rPr>
              <w:t>绩效目标合理性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5</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5</w:t>
            </w:r>
          </w:p>
        </w:tc>
      </w:tr>
      <w:tr>
        <w:tblPrEx>
          <w:tblLayout w:type="fixed"/>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sz w:val="24"/>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sz w:val="24"/>
              </w:rPr>
            </w:pPr>
          </w:p>
        </w:tc>
        <w:tc>
          <w:tcPr>
            <w:tcW w:w="1251"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sz w:val="24"/>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sz w:val="24"/>
              </w:rPr>
            </w:pP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kern w:val="0"/>
                <w:sz w:val="24"/>
                <w:lang w:bidi="ar"/>
              </w:rPr>
              <w:t>绩效指标明确性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5</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5</w:t>
            </w:r>
          </w:p>
        </w:tc>
      </w:tr>
      <w:tr>
        <w:tblPrEx>
          <w:tblLayout w:type="fixed"/>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sz w:val="24"/>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sz w:val="24"/>
              </w:rPr>
            </w:pPr>
          </w:p>
        </w:tc>
        <w:tc>
          <w:tcPr>
            <w:tcW w:w="1251"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资金投入</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5</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kern w:val="0"/>
                <w:sz w:val="24"/>
                <w:lang w:bidi="ar"/>
              </w:rPr>
              <w:t>预算编制科学性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2</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2</w:t>
            </w:r>
          </w:p>
        </w:tc>
      </w:tr>
      <w:tr>
        <w:tblPrEx>
          <w:tblLayout w:type="fixed"/>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sz w:val="24"/>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sz w:val="24"/>
              </w:rPr>
            </w:pPr>
          </w:p>
        </w:tc>
        <w:tc>
          <w:tcPr>
            <w:tcW w:w="1251"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sz w:val="24"/>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sz w:val="24"/>
              </w:rPr>
            </w:pP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kern w:val="0"/>
                <w:sz w:val="24"/>
                <w:lang w:bidi="ar"/>
              </w:rPr>
              <w:t>资金分配合理性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3</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3</w:t>
            </w:r>
          </w:p>
        </w:tc>
      </w:tr>
      <w:tr>
        <w:tblPrEx>
          <w:tblLayout w:type="fixed"/>
          <w:tblCellMar>
            <w:top w:w="0" w:type="dxa"/>
            <w:left w:w="0" w:type="dxa"/>
            <w:bottom w:w="0" w:type="dxa"/>
            <w:right w:w="0" w:type="dxa"/>
          </w:tblCellMar>
        </w:tblPrEx>
        <w:trPr>
          <w:trHeight w:val="334" w:hRule="atLeast"/>
          <w:tblHeader/>
          <w:jc w:val="center"/>
        </w:trPr>
        <w:tc>
          <w:tcPr>
            <w:tcW w:w="328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合计</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20</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left"/>
              <w:textAlignment w:val="center"/>
              <w:rPr>
                <w:rFonts w:asciiTheme="minorEastAsia" w:hAnsiTheme="minorEastAsia" w:eastAsiaTheme="minorEastAsia" w:cstheme="minorEastAsia"/>
                <w:sz w:val="24"/>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20</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20</w:t>
            </w:r>
          </w:p>
        </w:tc>
      </w:tr>
    </w:tbl>
    <w:p>
      <w:pPr>
        <w:pStyle w:val="4"/>
        <w:ind w:firstLine="643"/>
      </w:pPr>
      <w:r>
        <w:rPr>
          <w:rFonts w:hint="eastAsia"/>
        </w:rPr>
        <w:t>（二）项目过程情况</w:t>
      </w:r>
    </w:p>
    <w:p>
      <w:pPr>
        <w:ind w:firstLine="560"/>
        <w:rPr>
          <w:u w:color="000000"/>
          <w:lang w:val="zh-TW" w:eastAsia="zh-TW"/>
        </w:rPr>
      </w:pPr>
      <w:r>
        <w:rPr>
          <w:rFonts w:hint="eastAsia"/>
          <w:u w:color="000000"/>
          <w:lang w:val="zh-TW" w:eastAsia="zh-TW"/>
        </w:rPr>
        <w:t>项目</w:t>
      </w:r>
      <w:r>
        <w:rPr>
          <w:rFonts w:hint="eastAsia" w:ascii="仿宋_GB2312"/>
        </w:rPr>
        <w:t>过程</w:t>
      </w:r>
      <w:r>
        <w:rPr>
          <w:rFonts w:hint="eastAsia"/>
          <w:u w:color="000000"/>
        </w:rPr>
        <w:t>管理</w:t>
      </w:r>
      <w:r>
        <w:rPr>
          <w:rFonts w:hint="eastAsia"/>
          <w:u w:color="000000"/>
          <w:lang w:val="zh-TW" w:eastAsia="zh-TW"/>
        </w:rPr>
        <w:t>类指标由</w:t>
      </w:r>
      <w:r>
        <w:rPr>
          <w:rFonts w:hint="eastAsia"/>
          <w:u w:color="000000"/>
        </w:rPr>
        <w:t>2</w:t>
      </w:r>
      <w:r>
        <w:rPr>
          <w:rFonts w:hint="eastAsia"/>
          <w:u w:color="000000"/>
          <w:lang w:val="zh-TW" w:eastAsia="zh-TW"/>
        </w:rPr>
        <w:t>个</w:t>
      </w:r>
      <w:r>
        <w:rPr>
          <w:rFonts w:hint="eastAsia"/>
          <w:u w:color="000000"/>
          <w:lang w:val="zh-TW"/>
        </w:rPr>
        <w:t>二</w:t>
      </w:r>
      <w:r>
        <w:rPr>
          <w:rFonts w:hint="eastAsia"/>
          <w:u w:color="000000"/>
          <w:lang w:val="zh-TW" w:eastAsia="zh-TW"/>
        </w:rPr>
        <w:t>级指标和</w:t>
      </w:r>
      <w:r>
        <w:rPr>
          <w:rFonts w:hint="eastAsia"/>
          <w:u w:color="000000"/>
        </w:rPr>
        <w:t>5</w:t>
      </w:r>
      <w:r>
        <w:rPr>
          <w:rFonts w:hint="eastAsia"/>
          <w:u w:color="000000"/>
          <w:lang w:val="zh-TW" w:eastAsia="zh-TW"/>
        </w:rPr>
        <w:t>个</w:t>
      </w:r>
      <w:r>
        <w:rPr>
          <w:rFonts w:hint="eastAsia"/>
          <w:u w:color="000000"/>
        </w:rPr>
        <w:t>三</w:t>
      </w:r>
      <w:r>
        <w:rPr>
          <w:rFonts w:hint="eastAsia"/>
          <w:u w:color="000000"/>
          <w:lang w:val="zh-TW" w:eastAsia="zh-TW"/>
        </w:rPr>
        <w:t>级指标构成，权重分</w:t>
      </w:r>
      <w:r>
        <w:rPr>
          <w:rFonts w:hint="eastAsia"/>
          <w:u w:color="000000"/>
        </w:rPr>
        <w:t>20</w:t>
      </w:r>
      <w:r>
        <w:rPr>
          <w:rFonts w:hint="eastAsia"/>
          <w:u w:color="000000"/>
          <w:lang w:val="zh-TW" w:eastAsia="zh-TW"/>
        </w:rPr>
        <w:t>分，实际得分</w:t>
      </w:r>
      <w:r>
        <w:rPr>
          <w:rFonts w:hint="eastAsia"/>
          <w:u w:color="000000"/>
        </w:rPr>
        <w:t>18</w:t>
      </w:r>
      <w:r>
        <w:rPr>
          <w:rFonts w:hint="eastAsia"/>
          <w:u w:color="000000"/>
          <w:lang w:val="zh-TW" w:eastAsia="zh-TW"/>
        </w:rPr>
        <w:t>分</w:t>
      </w:r>
      <w:r>
        <w:rPr>
          <w:rFonts w:hint="eastAsia"/>
          <w:u w:color="000000"/>
          <w:lang w:val="zh-TW"/>
        </w:rPr>
        <w:t>，</w:t>
      </w:r>
      <w:r>
        <w:rPr>
          <w:rFonts w:hint="eastAsia"/>
          <w:u w:color="000000"/>
          <w:lang w:val="zh-TW" w:eastAsia="zh-TW"/>
        </w:rPr>
        <w:t>各指标业绩值和绩效分值如表</w:t>
      </w:r>
      <w:r>
        <w:rPr>
          <w:rFonts w:hint="eastAsia"/>
          <w:u w:color="000000"/>
        </w:rPr>
        <w:t>4</w:t>
      </w:r>
      <w:r>
        <w:rPr>
          <w:u w:color="000000"/>
        </w:rPr>
        <w:t>-</w:t>
      </w:r>
      <w:r>
        <w:rPr>
          <w:rFonts w:hint="eastAsia"/>
          <w:u w:color="000000"/>
        </w:rPr>
        <w:t>2</w:t>
      </w:r>
      <w:r>
        <w:rPr>
          <w:rFonts w:hint="eastAsia"/>
          <w:u w:color="000000"/>
          <w:lang w:val="zh-TW" w:eastAsia="zh-TW"/>
        </w:rPr>
        <w:t>所示：</w:t>
      </w:r>
    </w:p>
    <w:p>
      <w:pPr>
        <w:ind w:firstLine="562"/>
        <w:jc w:val="center"/>
        <w:rPr>
          <w:b/>
          <w:bCs/>
          <w:u w:color="000000"/>
        </w:rPr>
      </w:pPr>
      <w:r>
        <w:rPr>
          <w:rFonts w:hint="eastAsia"/>
          <w:b/>
          <w:bCs/>
          <w:u w:color="000000"/>
          <w:lang w:val="zh-TW" w:eastAsia="zh-TW"/>
        </w:rPr>
        <w:t>表</w:t>
      </w:r>
      <w:r>
        <w:rPr>
          <w:rFonts w:hint="eastAsia"/>
          <w:b/>
          <w:bCs/>
          <w:u w:color="000000"/>
        </w:rPr>
        <w:t>4</w:t>
      </w:r>
      <w:r>
        <w:rPr>
          <w:b/>
          <w:bCs/>
          <w:u w:color="000000"/>
        </w:rPr>
        <w:t>-</w:t>
      </w:r>
      <w:r>
        <w:rPr>
          <w:rFonts w:hint="eastAsia"/>
          <w:b/>
          <w:bCs/>
          <w:u w:color="000000"/>
        </w:rPr>
        <w:t>2</w:t>
      </w:r>
      <w:r>
        <w:rPr>
          <w:rFonts w:hint="eastAsia"/>
          <w:b/>
          <w:bCs/>
          <w:u w:color="000000"/>
          <w:lang w:val="zh-TW" w:eastAsia="zh-TW"/>
        </w:rPr>
        <w:t>项目</w:t>
      </w:r>
      <w:r>
        <w:rPr>
          <w:rFonts w:hint="eastAsia"/>
          <w:b/>
          <w:bCs/>
          <w:u w:color="000000"/>
          <w:lang w:val="zh-TW"/>
        </w:rPr>
        <w:t>管理</w:t>
      </w:r>
      <w:r>
        <w:rPr>
          <w:rFonts w:hint="eastAsia"/>
          <w:b/>
          <w:bCs/>
          <w:u w:color="000000"/>
          <w:lang w:val="zh-TW" w:eastAsia="zh-TW"/>
        </w:rPr>
        <w:t>指标及分值</w:t>
      </w:r>
      <w:r>
        <w:rPr>
          <w:rFonts w:hint="eastAsia"/>
          <w:b/>
          <w:bCs/>
          <w:u w:color="000000"/>
        </w:rPr>
        <w:t>情况</w:t>
      </w:r>
    </w:p>
    <w:tbl>
      <w:tblPr>
        <w:tblStyle w:val="13"/>
        <w:tblW w:w="8317" w:type="dxa"/>
        <w:jc w:val="center"/>
        <w:tblInd w:w="0" w:type="dxa"/>
        <w:tblLayout w:type="fixed"/>
        <w:tblCellMar>
          <w:top w:w="0" w:type="dxa"/>
          <w:left w:w="0" w:type="dxa"/>
          <w:bottom w:w="0" w:type="dxa"/>
          <w:right w:w="0" w:type="dxa"/>
        </w:tblCellMar>
      </w:tblPr>
      <w:tblGrid>
        <w:gridCol w:w="1182"/>
        <w:gridCol w:w="738"/>
        <w:gridCol w:w="1248"/>
        <w:gridCol w:w="1176"/>
        <w:gridCol w:w="1644"/>
        <w:gridCol w:w="1176"/>
        <w:gridCol w:w="1153"/>
      </w:tblGrid>
      <w:tr>
        <w:tblPrEx>
          <w:tblLayout w:type="fixed"/>
          <w:tblCellMar>
            <w:top w:w="0" w:type="dxa"/>
            <w:left w:w="0" w:type="dxa"/>
            <w:bottom w:w="0" w:type="dxa"/>
            <w:right w:w="0" w:type="dxa"/>
          </w:tblCellMar>
        </w:tblPrEx>
        <w:trPr>
          <w:trHeight w:val="23"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分值</w:t>
            </w:r>
          </w:p>
        </w:tc>
        <w:tc>
          <w:tcPr>
            <w:tcW w:w="16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三级指标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得分</w:t>
            </w:r>
          </w:p>
        </w:tc>
      </w:tr>
      <w:tr>
        <w:tblPrEx>
          <w:tblLayout w:type="fixed"/>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12</w:t>
            </w:r>
          </w:p>
        </w:tc>
        <w:tc>
          <w:tcPr>
            <w:tcW w:w="16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ind w:firstLine="0" w:firstLineChars="0"/>
              <w:jc w:val="left"/>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kern w:val="0"/>
                <w:sz w:val="22"/>
                <w:szCs w:val="22"/>
                <w:lang w:bidi="ar"/>
              </w:rPr>
              <w:t>资金到位率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sz w:val="24"/>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sz w:val="24"/>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sz w:val="24"/>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sz w:val="24"/>
              </w:rPr>
            </w:pPr>
          </w:p>
        </w:tc>
        <w:tc>
          <w:tcPr>
            <w:tcW w:w="16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ind w:firstLine="0" w:firstLineChars="0"/>
              <w:jc w:val="left"/>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kern w:val="0"/>
                <w:sz w:val="22"/>
                <w:szCs w:val="22"/>
                <w:lang w:bidi="ar"/>
              </w:rPr>
              <w:t>预算执行率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3</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sz w:val="24"/>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sz w:val="24"/>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sz w:val="24"/>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sz w:val="24"/>
              </w:rPr>
            </w:pPr>
          </w:p>
        </w:tc>
        <w:tc>
          <w:tcPr>
            <w:tcW w:w="16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ind w:firstLine="0" w:firstLineChars="0"/>
              <w:jc w:val="left"/>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kern w:val="0"/>
                <w:sz w:val="22"/>
                <w:szCs w:val="22"/>
                <w:lang w:bidi="ar"/>
              </w:rPr>
              <w:t>资金使用合规性</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3</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sz w:val="24"/>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sz w:val="24"/>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8</w:t>
            </w:r>
          </w:p>
        </w:tc>
        <w:tc>
          <w:tcPr>
            <w:tcW w:w="16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kern w:val="0"/>
                <w:sz w:val="22"/>
                <w:szCs w:val="22"/>
                <w:lang w:bidi="ar"/>
              </w:rPr>
              <w:t>管理制度健全性</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sz w:val="24"/>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sz w:val="24"/>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sz w:val="24"/>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sz w:val="24"/>
              </w:rPr>
            </w:pPr>
          </w:p>
        </w:tc>
        <w:tc>
          <w:tcPr>
            <w:tcW w:w="16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kern w:val="0"/>
                <w:sz w:val="22"/>
                <w:szCs w:val="22"/>
                <w:lang w:bidi="ar"/>
              </w:rPr>
              <w:t>制度执行有效性</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3</w:t>
            </w:r>
          </w:p>
        </w:tc>
      </w:tr>
      <w:tr>
        <w:tblPrEx>
          <w:tblLayout w:type="fixed"/>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20</w:t>
            </w:r>
          </w:p>
        </w:tc>
        <w:tc>
          <w:tcPr>
            <w:tcW w:w="16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left"/>
              <w:textAlignment w:val="center"/>
              <w:rPr>
                <w:rFonts w:asciiTheme="minorEastAsia" w:hAnsiTheme="minorEastAsia" w:eastAsiaTheme="minorEastAsia" w:cstheme="minorEastAsia"/>
                <w:sz w:val="24"/>
              </w:rPr>
            </w:pP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18</w:t>
            </w:r>
          </w:p>
        </w:tc>
      </w:tr>
    </w:tbl>
    <w:p>
      <w:pPr>
        <w:pStyle w:val="4"/>
        <w:numPr>
          <w:ilvl w:val="0"/>
          <w:numId w:val="5"/>
        </w:numPr>
        <w:ind w:firstLine="643"/>
      </w:pPr>
      <w:r>
        <w:rPr>
          <w:rFonts w:hint="eastAsia"/>
        </w:rPr>
        <w:t>项目产出情况</w:t>
      </w:r>
    </w:p>
    <w:p>
      <w:pPr>
        <w:pStyle w:val="4"/>
        <w:numPr>
          <w:ilvl w:val="0"/>
          <w:numId w:val="5"/>
        </w:numPr>
        <w:ind w:firstLine="643"/>
      </w:pPr>
      <w:r>
        <w:rPr>
          <w:rFonts w:hint="eastAsia"/>
          <w:u w:color="000000"/>
          <w:lang w:val="zh-TW" w:eastAsia="zh-TW"/>
        </w:rPr>
        <w:t>项目</w:t>
      </w:r>
      <w:r>
        <w:rPr>
          <w:rFonts w:hint="eastAsia" w:ascii="仿宋_GB2312"/>
        </w:rPr>
        <w:t>产出</w:t>
      </w:r>
      <w:r>
        <w:rPr>
          <w:rFonts w:hint="eastAsia"/>
          <w:u w:color="000000"/>
          <w:lang w:val="zh-TW" w:eastAsia="zh-TW"/>
        </w:rPr>
        <w:t>类指标由</w:t>
      </w:r>
      <w:r>
        <w:rPr>
          <w:rFonts w:hint="eastAsia"/>
          <w:u w:color="000000"/>
        </w:rPr>
        <w:t>4</w:t>
      </w:r>
      <w:r>
        <w:rPr>
          <w:rFonts w:hint="eastAsia"/>
          <w:u w:color="000000"/>
          <w:lang w:val="zh-TW" w:eastAsia="zh-TW"/>
        </w:rPr>
        <w:t>个</w:t>
      </w:r>
      <w:r>
        <w:rPr>
          <w:rFonts w:hint="eastAsia"/>
          <w:u w:color="000000"/>
          <w:lang w:val="zh-TW"/>
        </w:rPr>
        <w:t>二</w:t>
      </w:r>
      <w:r>
        <w:rPr>
          <w:rFonts w:hint="eastAsia"/>
          <w:u w:color="000000"/>
          <w:lang w:val="zh-TW" w:eastAsia="zh-TW"/>
        </w:rPr>
        <w:t>级指标和</w:t>
      </w:r>
      <w:r>
        <w:rPr>
          <w:rFonts w:hint="eastAsia"/>
          <w:u w:color="000000"/>
        </w:rPr>
        <w:t>20</w:t>
      </w:r>
      <w:r>
        <w:rPr>
          <w:rFonts w:hint="eastAsia"/>
          <w:u w:color="000000"/>
          <w:lang w:val="zh-TW" w:eastAsia="zh-TW"/>
        </w:rPr>
        <w:t>个</w:t>
      </w:r>
      <w:r>
        <w:rPr>
          <w:rFonts w:hint="eastAsia"/>
          <w:u w:color="000000"/>
        </w:rPr>
        <w:t>三</w:t>
      </w:r>
      <w:r>
        <w:rPr>
          <w:rFonts w:hint="eastAsia"/>
          <w:u w:color="000000"/>
          <w:lang w:val="zh-TW" w:eastAsia="zh-TW"/>
        </w:rPr>
        <w:t>级指标构成，权重分</w:t>
      </w:r>
      <w:r>
        <w:rPr>
          <w:rFonts w:hint="eastAsia"/>
          <w:u w:color="000000"/>
        </w:rPr>
        <w:t>30</w:t>
      </w:r>
      <w:r>
        <w:rPr>
          <w:rFonts w:hint="eastAsia"/>
          <w:u w:color="000000"/>
          <w:lang w:val="zh-TW" w:eastAsia="zh-TW"/>
        </w:rPr>
        <w:t>分，实际得分</w:t>
      </w:r>
      <w:r>
        <w:rPr>
          <w:rFonts w:hint="eastAsia"/>
          <w:u w:color="000000"/>
        </w:rPr>
        <w:t>28</w:t>
      </w:r>
      <w:r>
        <w:rPr>
          <w:rFonts w:hint="eastAsia"/>
          <w:u w:color="000000"/>
          <w:lang w:val="zh-TW" w:eastAsia="zh-TW"/>
        </w:rPr>
        <w:t>分</w:t>
      </w:r>
      <w:r>
        <w:rPr>
          <w:rFonts w:hint="eastAsia"/>
          <w:u w:color="000000"/>
          <w:lang w:val="zh-TW" w:eastAsia="zh-CN"/>
        </w:rPr>
        <w:t>。</w:t>
      </w:r>
    </w:p>
    <w:p>
      <w:pPr>
        <w:pStyle w:val="4"/>
        <w:numPr>
          <w:ilvl w:val="0"/>
          <w:numId w:val="5"/>
        </w:numPr>
        <w:ind w:firstLine="643"/>
      </w:pPr>
      <w:r>
        <w:rPr>
          <w:rFonts w:hint="eastAsia"/>
        </w:rPr>
        <w:t>项目效益情况</w:t>
      </w:r>
    </w:p>
    <w:p>
      <w:pPr>
        <w:ind w:firstLine="560"/>
        <w:rPr>
          <w:u w:color="000000"/>
          <w:lang w:val="zh-TW" w:eastAsia="zh-TW"/>
        </w:rPr>
      </w:pPr>
      <w:r>
        <w:rPr>
          <w:rFonts w:hint="eastAsia"/>
          <w:u w:color="000000"/>
          <w:lang w:val="zh-TW" w:eastAsia="zh-TW"/>
        </w:rPr>
        <w:t>项目</w:t>
      </w:r>
      <w:r>
        <w:rPr>
          <w:rFonts w:hint="eastAsia" w:ascii="仿宋_GB2312"/>
        </w:rPr>
        <w:t>产出</w:t>
      </w:r>
      <w:r>
        <w:rPr>
          <w:rFonts w:hint="eastAsia"/>
          <w:u w:color="000000"/>
          <w:lang w:val="zh-TW" w:eastAsia="zh-TW"/>
        </w:rPr>
        <w:t>类指标由</w:t>
      </w:r>
      <w:r>
        <w:rPr>
          <w:rFonts w:hint="eastAsia"/>
          <w:u w:color="000000"/>
        </w:rPr>
        <w:t>4</w:t>
      </w:r>
      <w:r>
        <w:rPr>
          <w:rFonts w:hint="eastAsia"/>
          <w:u w:color="000000"/>
          <w:lang w:val="zh-TW" w:eastAsia="zh-TW"/>
        </w:rPr>
        <w:t>个</w:t>
      </w:r>
      <w:r>
        <w:rPr>
          <w:rFonts w:hint="eastAsia"/>
          <w:u w:color="000000"/>
          <w:lang w:val="zh-TW"/>
        </w:rPr>
        <w:t>二</w:t>
      </w:r>
      <w:r>
        <w:rPr>
          <w:rFonts w:hint="eastAsia"/>
          <w:u w:color="000000"/>
          <w:lang w:val="zh-TW" w:eastAsia="zh-TW"/>
        </w:rPr>
        <w:t>级指标和</w:t>
      </w:r>
      <w:r>
        <w:rPr>
          <w:rFonts w:hint="eastAsia"/>
          <w:u w:color="000000"/>
        </w:rPr>
        <w:t>6</w:t>
      </w:r>
      <w:r>
        <w:rPr>
          <w:rFonts w:hint="eastAsia"/>
          <w:u w:color="000000"/>
          <w:lang w:val="zh-TW" w:eastAsia="zh-TW"/>
        </w:rPr>
        <w:t>个</w:t>
      </w:r>
      <w:r>
        <w:rPr>
          <w:rFonts w:hint="eastAsia"/>
          <w:u w:color="000000"/>
        </w:rPr>
        <w:t>三</w:t>
      </w:r>
      <w:r>
        <w:rPr>
          <w:rFonts w:hint="eastAsia"/>
          <w:u w:color="000000"/>
          <w:lang w:val="zh-TW" w:eastAsia="zh-TW"/>
        </w:rPr>
        <w:t>级指标构成，权重分</w:t>
      </w:r>
      <w:r>
        <w:rPr>
          <w:rFonts w:hint="eastAsia"/>
          <w:u w:color="000000"/>
        </w:rPr>
        <w:t>30</w:t>
      </w:r>
      <w:r>
        <w:rPr>
          <w:rFonts w:hint="eastAsia"/>
          <w:u w:color="000000"/>
          <w:lang w:val="zh-TW" w:eastAsia="zh-TW"/>
        </w:rPr>
        <w:t>分，实际得分</w:t>
      </w:r>
      <w:r>
        <w:rPr>
          <w:rFonts w:hint="eastAsia"/>
          <w:u w:color="000000"/>
        </w:rPr>
        <w:t>23</w:t>
      </w:r>
      <w:r>
        <w:rPr>
          <w:rFonts w:hint="eastAsia"/>
          <w:u w:color="000000"/>
          <w:lang w:val="zh-TW" w:eastAsia="zh-TW"/>
        </w:rPr>
        <w:t>分</w:t>
      </w:r>
      <w:r>
        <w:rPr>
          <w:rFonts w:hint="eastAsia"/>
          <w:u w:color="000000"/>
          <w:lang w:val="zh-TW"/>
        </w:rPr>
        <w:t>，</w:t>
      </w:r>
      <w:r>
        <w:rPr>
          <w:rFonts w:hint="eastAsia"/>
          <w:u w:color="000000"/>
          <w:lang w:val="zh-TW" w:eastAsia="zh-TW"/>
        </w:rPr>
        <w:t>各指标业绩值和绩效分值如表</w:t>
      </w:r>
      <w:r>
        <w:rPr>
          <w:rFonts w:hint="eastAsia"/>
          <w:u w:color="000000"/>
        </w:rPr>
        <w:t>4</w:t>
      </w:r>
      <w:r>
        <w:rPr>
          <w:u w:color="000000"/>
        </w:rPr>
        <w:t>-</w:t>
      </w:r>
      <w:r>
        <w:rPr>
          <w:rFonts w:hint="eastAsia"/>
          <w:u w:color="000000"/>
        </w:rPr>
        <w:t>3</w:t>
      </w:r>
      <w:r>
        <w:rPr>
          <w:rFonts w:hint="eastAsia"/>
          <w:u w:color="000000"/>
          <w:lang w:val="zh-TW" w:eastAsia="zh-TW"/>
        </w:rPr>
        <w:t>所示：</w:t>
      </w:r>
    </w:p>
    <w:p>
      <w:pPr>
        <w:keepNext/>
        <w:keepLines/>
        <w:ind w:firstLine="562"/>
        <w:jc w:val="center"/>
      </w:pPr>
      <w:r>
        <w:rPr>
          <w:rFonts w:hint="eastAsia" w:ascii="仿宋_GB2312" w:hAnsi="仿宋_GB2312" w:cs="仿宋_GB2312"/>
          <w:b/>
          <w:bCs/>
          <w:u w:color="000000"/>
          <w:lang w:val="zh-TW" w:eastAsia="zh-TW"/>
        </w:rPr>
        <w:t>表</w:t>
      </w:r>
      <w:r>
        <w:rPr>
          <w:rFonts w:hint="eastAsia" w:ascii="仿宋_GB2312" w:hAnsi="仿宋_GB2312" w:cs="仿宋_GB2312"/>
          <w:b/>
          <w:bCs/>
          <w:u w:color="000000"/>
        </w:rPr>
        <w:t>4-4</w:t>
      </w:r>
      <w:r>
        <w:rPr>
          <w:rFonts w:hint="eastAsia" w:ascii="仿宋_GB2312" w:hAnsi="仿宋_GB2312" w:cs="仿宋_GB2312"/>
          <w:b/>
          <w:bCs/>
        </w:rPr>
        <w:t>项目效益</w:t>
      </w:r>
      <w:r>
        <w:rPr>
          <w:rFonts w:hint="eastAsia" w:ascii="仿宋_GB2312" w:hAnsi="仿宋_GB2312" w:cs="仿宋_GB2312"/>
          <w:b/>
          <w:bCs/>
          <w:u w:color="000000"/>
          <w:lang w:val="zh-TW" w:eastAsia="zh-TW"/>
        </w:rPr>
        <w:t>指标及分值</w:t>
      </w:r>
      <w:r>
        <w:rPr>
          <w:rFonts w:hint="eastAsia" w:ascii="仿宋_GB2312" w:hAnsi="仿宋_GB2312" w:cs="仿宋_GB2312"/>
          <w:b/>
          <w:bCs/>
          <w:u w:color="000000"/>
        </w:rPr>
        <w:t>情况</w:t>
      </w:r>
    </w:p>
    <w:tbl>
      <w:tblPr>
        <w:tblStyle w:val="13"/>
        <w:tblW w:w="9137" w:type="dxa"/>
        <w:tblInd w:w="0" w:type="dxa"/>
        <w:tblLayout w:type="fixed"/>
        <w:tblCellMar>
          <w:top w:w="0" w:type="dxa"/>
          <w:left w:w="0" w:type="dxa"/>
          <w:bottom w:w="0" w:type="dxa"/>
          <w:right w:w="0" w:type="dxa"/>
        </w:tblCellMar>
      </w:tblPr>
      <w:tblGrid>
        <w:gridCol w:w="838"/>
        <w:gridCol w:w="1115"/>
        <w:gridCol w:w="2896"/>
        <w:gridCol w:w="1371"/>
        <w:gridCol w:w="519"/>
        <w:gridCol w:w="1133"/>
        <w:gridCol w:w="565"/>
        <w:gridCol w:w="700"/>
      </w:tblGrid>
      <w:tr>
        <w:tblPrEx>
          <w:tblLayout w:type="fixed"/>
          <w:tblCellMar>
            <w:top w:w="0" w:type="dxa"/>
            <w:left w:w="0" w:type="dxa"/>
            <w:bottom w:w="0" w:type="dxa"/>
            <w:right w:w="0" w:type="dxa"/>
          </w:tblCellMar>
        </w:tblPrEx>
        <w:trPr>
          <w:trHeight w:val="23" w:hRule="atLeast"/>
        </w:trPr>
        <w:tc>
          <w:tcPr>
            <w:tcW w:w="83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kern w:val="0"/>
                <w:sz w:val="24"/>
                <w:lang w:bidi="ar"/>
              </w:rPr>
              <w:t>一级指标</w:t>
            </w:r>
          </w:p>
        </w:tc>
        <w:tc>
          <w:tcPr>
            <w:tcW w:w="111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kern w:val="0"/>
                <w:sz w:val="24"/>
                <w:lang w:bidi="ar"/>
              </w:rPr>
              <w:t>二级指标</w:t>
            </w:r>
          </w:p>
        </w:tc>
        <w:tc>
          <w:tcPr>
            <w:tcW w:w="289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kern w:val="0"/>
                <w:sz w:val="24"/>
                <w:lang w:bidi="ar"/>
              </w:rPr>
              <w:t>三级指标</w:t>
            </w:r>
          </w:p>
        </w:tc>
        <w:tc>
          <w:tcPr>
            <w:tcW w:w="137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kern w:val="0"/>
                <w:sz w:val="24"/>
                <w:lang w:bidi="ar"/>
              </w:rPr>
              <w:t>年度指标值</w:t>
            </w:r>
          </w:p>
        </w:tc>
        <w:tc>
          <w:tcPr>
            <w:tcW w:w="51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kern w:val="0"/>
                <w:sz w:val="24"/>
                <w:lang w:bidi="ar"/>
              </w:rPr>
              <w:t>标杆分值</w:t>
            </w:r>
          </w:p>
        </w:tc>
        <w:tc>
          <w:tcPr>
            <w:tcW w:w="113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kern w:val="0"/>
                <w:sz w:val="24"/>
                <w:lang w:bidi="ar"/>
              </w:rPr>
              <w:t>全年实际完成值</w:t>
            </w:r>
          </w:p>
        </w:tc>
        <w:tc>
          <w:tcPr>
            <w:tcW w:w="56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kern w:val="0"/>
                <w:sz w:val="24"/>
                <w:lang w:bidi="ar"/>
              </w:rPr>
              <w:t>指标得分</w:t>
            </w:r>
          </w:p>
        </w:tc>
        <w:tc>
          <w:tcPr>
            <w:tcW w:w="70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kern w:val="0"/>
                <w:sz w:val="24"/>
                <w:lang w:bidi="ar"/>
              </w:rPr>
              <w:t>备注</w:t>
            </w:r>
          </w:p>
        </w:tc>
      </w:tr>
      <w:tr>
        <w:tblPrEx>
          <w:tblLayout w:type="fixed"/>
          <w:tblCellMar>
            <w:top w:w="0" w:type="dxa"/>
            <w:left w:w="0" w:type="dxa"/>
            <w:bottom w:w="0" w:type="dxa"/>
            <w:right w:w="0" w:type="dxa"/>
          </w:tblCellMar>
        </w:tblPrEx>
        <w:trPr>
          <w:trHeight w:val="23" w:hRule="atLeast"/>
        </w:trPr>
        <w:tc>
          <w:tcPr>
            <w:tcW w:w="83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kern w:val="0"/>
                <w:sz w:val="24"/>
                <w:lang w:bidi="ar"/>
              </w:rPr>
              <w:t>效益</w:t>
            </w:r>
          </w:p>
        </w:tc>
        <w:tc>
          <w:tcPr>
            <w:tcW w:w="1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kern w:val="0"/>
                <w:sz w:val="24"/>
                <w:lang w:bidi="ar"/>
              </w:rPr>
              <w:t>经济效益指标</w:t>
            </w:r>
          </w:p>
        </w:tc>
        <w:tc>
          <w:tcPr>
            <w:tcW w:w="28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spacing w:line="240" w:lineRule="atLeast"/>
              <w:ind w:firstLine="0" w:firstLineChars="0"/>
              <w:jc w:val="left"/>
              <w:textAlignment w:val="center"/>
              <w:rPr>
                <w:rFonts w:asciiTheme="minorEastAsia" w:hAnsiTheme="minorEastAsia" w:eastAsiaTheme="minorEastAsia" w:cstheme="minorEastAsia"/>
                <w:kern w:val="0"/>
                <w:sz w:val="24"/>
                <w:lang w:bidi="ar"/>
              </w:rPr>
            </w:pPr>
            <w:r>
              <w:rPr>
                <w:rFonts w:hint="eastAsia" w:asciiTheme="minorEastAsia" w:hAnsiTheme="minorEastAsia" w:eastAsiaTheme="minorEastAsia" w:cstheme="minorEastAsia"/>
                <w:kern w:val="0"/>
                <w:sz w:val="24"/>
                <w:lang w:bidi="ar"/>
              </w:rPr>
              <w:t>办公设备设施完好率（%）</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spacing w:line="240" w:lineRule="atLeast"/>
              <w:ind w:firstLine="0" w:firstLineChars="0"/>
              <w:jc w:val="center"/>
              <w:textAlignment w:val="center"/>
              <w:rPr>
                <w:rFonts w:asciiTheme="minorEastAsia" w:hAnsiTheme="minorEastAsia" w:eastAsiaTheme="minorEastAsia" w:cstheme="minorEastAsia"/>
                <w:kern w:val="0"/>
                <w:sz w:val="24"/>
                <w:lang w:bidi="ar"/>
              </w:rPr>
            </w:pPr>
            <w:r>
              <w:rPr>
                <w:rFonts w:hint="eastAsia" w:asciiTheme="minorEastAsia" w:hAnsiTheme="minorEastAsia" w:eastAsiaTheme="minorEastAsia" w:cstheme="minorEastAsia"/>
                <w:kern w:val="0"/>
                <w:sz w:val="24"/>
                <w:lang w:bidi="ar"/>
              </w:rPr>
              <w:t>100%</w:t>
            </w:r>
          </w:p>
        </w:tc>
        <w:tc>
          <w:tcPr>
            <w:tcW w:w="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spacing w:line="240" w:lineRule="atLeast"/>
              <w:ind w:firstLine="0" w:firstLineChars="0"/>
              <w:jc w:val="center"/>
              <w:textAlignment w:val="center"/>
              <w:rPr>
                <w:rFonts w:asciiTheme="minorEastAsia" w:hAnsiTheme="minorEastAsia" w:eastAsiaTheme="minorEastAsia" w:cstheme="minorEastAsia"/>
                <w:kern w:val="0"/>
                <w:sz w:val="24"/>
                <w:lang w:bidi="ar"/>
              </w:rPr>
            </w:pPr>
            <w:r>
              <w:rPr>
                <w:rFonts w:hint="eastAsia" w:asciiTheme="minorEastAsia" w:hAnsiTheme="minorEastAsia" w:eastAsiaTheme="minorEastAsia" w:cstheme="minorEastAsia"/>
                <w:kern w:val="0"/>
                <w:sz w:val="24"/>
                <w:lang w:bidi="ar"/>
              </w:rPr>
              <w:t>5</w:t>
            </w:r>
          </w:p>
        </w:tc>
        <w:tc>
          <w:tcPr>
            <w:tcW w:w="11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spacing w:line="240" w:lineRule="atLeast"/>
              <w:ind w:firstLine="0" w:firstLineChars="0"/>
              <w:jc w:val="center"/>
              <w:textAlignment w:val="center"/>
              <w:rPr>
                <w:rFonts w:asciiTheme="minorEastAsia" w:hAnsiTheme="minorEastAsia" w:eastAsiaTheme="minorEastAsia" w:cstheme="minorEastAsia"/>
                <w:kern w:val="0"/>
                <w:sz w:val="24"/>
                <w:lang w:bidi="ar"/>
              </w:rPr>
            </w:pPr>
            <w:r>
              <w:rPr>
                <w:rFonts w:hint="eastAsia" w:asciiTheme="minorEastAsia" w:hAnsiTheme="minorEastAsia" w:eastAsiaTheme="minorEastAsia" w:cstheme="minorEastAsia"/>
                <w:kern w:val="0"/>
                <w:sz w:val="24"/>
                <w:lang w:bidi="ar"/>
              </w:rPr>
              <w:t>100%</w:t>
            </w: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spacing w:line="240" w:lineRule="atLeast"/>
              <w:ind w:firstLine="0" w:firstLineChars="0"/>
              <w:jc w:val="center"/>
              <w:textAlignment w:val="center"/>
              <w:rPr>
                <w:rFonts w:asciiTheme="minorEastAsia" w:hAnsiTheme="minorEastAsia" w:eastAsiaTheme="minorEastAsia" w:cstheme="minorEastAsia"/>
                <w:kern w:val="0"/>
                <w:sz w:val="24"/>
                <w:lang w:bidi="ar"/>
              </w:rPr>
            </w:pPr>
            <w:r>
              <w:rPr>
                <w:rFonts w:hint="eastAsia" w:asciiTheme="minorEastAsia" w:hAnsiTheme="minorEastAsia" w:eastAsiaTheme="minorEastAsia" w:cstheme="minorEastAsia"/>
                <w:kern w:val="0"/>
                <w:sz w:val="24"/>
                <w:lang w:bidi="ar"/>
              </w:rPr>
              <w:t>5</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sz w:val="24"/>
              </w:rPr>
            </w:pPr>
          </w:p>
        </w:tc>
      </w:tr>
      <w:tr>
        <w:tblPrEx>
          <w:tblLayout w:type="fixed"/>
          <w:tblCellMar>
            <w:top w:w="0" w:type="dxa"/>
            <w:left w:w="0" w:type="dxa"/>
            <w:bottom w:w="0" w:type="dxa"/>
            <w:right w:w="0" w:type="dxa"/>
          </w:tblCellMar>
        </w:tblPrEx>
        <w:trPr>
          <w:trHeight w:val="23" w:hRule="atLeast"/>
        </w:trPr>
        <w:tc>
          <w:tcPr>
            <w:tcW w:w="83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sz w:val="24"/>
              </w:rPr>
            </w:pPr>
          </w:p>
        </w:tc>
        <w:tc>
          <w:tcPr>
            <w:tcW w:w="11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kern w:val="0"/>
                <w:sz w:val="24"/>
                <w:lang w:bidi="ar"/>
              </w:rPr>
              <w:t>社会效益指标</w:t>
            </w:r>
          </w:p>
        </w:tc>
        <w:tc>
          <w:tcPr>
            <w:tcW w:w="28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spacing w:line="240" w:lineRule="atLeast"/>
              <w:ind w:firstLine="0" w:firstLineChars="0"/>
              <w:jc w:val="left"/>
              <w:textAlignment w:val="center"/>
              <w:rPr>
                <w:rFonts w:asciiTheme="minorEastAsia" w:hAnsiTheme="minorEastAsia" w:eastAsiaTheme="minorEastAsia" w:cstheme="minorEastAsia"/>
                <w:kern w:val="0"/>
                <w:sz w:val="24"/>
                <w:lang w:bidi="ar"/>
              </w:rPr>
            </w:pPr>
            <w:r>
              <w:rPr>
                <w:rFonts w:hint="eastAsia" w:asciiTheme="minorEastAsia" w:hAnsiTheme="minorEastAsia" w:eastAsiaTheme="minorEastAsia" w:cstheme="minorEastAsia"/>
                <w:kern w:val="0"/>
                <w:sz w:val="24"/>
                <w:lang w:bidi="ar"/>
              </w:rPr>
              <w:t>教育活动正常开展保障情况</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spacing w:line="240" w:lineRule="atLeast"/>
              <w:ind w:firstLine="0" w:firstLineChars="0"/>
              <w:jc w:val="center"/>
              <w:textAlignment w:val="center"/>
              <w:rPr>
                <w:rFonts w:asciiTheme="minorEastAsia" w:hAnsiTheme="minorEastAsia" w:eastAsiaTheme="minorEastAsia" w:cstheme="minorEastAsia"/>
                <w:kern w:val="0"/>
                <w:sz w:val="24"/>
                <w:lang w:bidi="ar"/>
              </w:rPr>
            </w:pPr>
            <w:r>
              <w:rPr>
                <w:rFonts w:hint="eastAsia" w:asciiTheme="minorEastAsia" w:hAnsiTheme="minorEastAsia" w:eastAsiaTheme="minorEastAsia" w:cstheme="minorEastAsia"/>
                <w:kern w:val="0"/>
                <w:sz w:val="24"/>
                <w:lang w:bidi="ar"/>
              </w:rPr>
              <w:t>有效保障</w:t>
            </w:r>
          </w:p>
        </w:tc>
        <w:tc>
          <w:tcPr>
            <w:tcW w:w="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spacing w:line="240" w:lineRule="atLeast"/>
              <w:ind w:firstLine="0" w:firstLineChars="0"/>
              <w:jc w:val="center"/>
              <w:textAlignment w:val="center"/>
              <w:rPr>
                <w:rFonts w:asciiTheme="minorEastAsia" w:hAnsiTheme="minorEastAsia" w:eastAsiaTheme="minorEastAsia" w:cstheme="minorEastAsia"/>
                <w:kern w:val="0"/>
                <w:sz w:val="24"/>
                <w:lang w:bidi="ar"/>
              </w:rPr>
            </w:pPr>
            <w:r>
              <w:rPr>
                <w:rFonts w:hint="eastAsia" w:asciiTheme="minorEastAsia" w:hAnsiTheme="minorEastAsia" w:eastAsiaTheme="minorEastAsia" w:cstheme="minorEastAsia"/>
                <w:kern w:val="0"/>
                <w:sz w:val="24"/>
                <w:lang w:bidi="ar"/>
              </w:rPr>
              <w:t>5</w:t>
            </w:r>
          </w:p>
        </w:tc>
        <w:tc>
          <w:tcPr>
            <w:tcW w:w="11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spacing w:line="240" w:lineRule="atLeast"/>
              <w:ind w:firstLine="0" w:firstLineChars="0"/>
              <w:jc w:val="center"/>
              <w:textAlignment w:val="center"/>
              <w:rPr>
                <w:rFonts w:asciiTheme="minorEastAsia" w:hAnsiTheme="minorEastAsia" w:eastAsiaTheme="minorEastAsia" w:cstheme="minorEastAsia"/>
                <w:kern w:val="0"/>
                <w:sz w:val="24"/>
                <w:lang w:bidi="ar"/>
              </w:rPr>
            </w:pPr>
            <w:r>
              <w:rPr>
                <w:rFonts w:hint="eastAsia" w:asciiTheme="minorEastAsia" w:hAnsiTheme="minorEastAsia" w:eastAsiaTheme="minorEastAsia" w:cstheme="minorEastAsia"/>
                <w:kern w:val="0"/>
                <w:sz w:val="24"/>
                <w:lang w:bidi="ar"/>
              </w:rPr>
              <w:t>83%</w:t>
            </w: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spacing w:line="240" w:lineRule="atLeast"/>
              <w:ind w:firstLine="0" w:firstLineChars="0"/>
              <w:jc w:val="center"/>
              <w:textAlignment w:val="center"/>
              <w:rPr>
                <w:rFonts w:asciiTheme="minorEastAsia" w:hAnsiTheme="minorEastAsia" w:eastAsiaTheme="minorEastAsia" w:cstheme="minorEastAsia"/>
                <w:kern w:val="0"/>
                <w:sz w:val="24"/>
                <w:lang w:bidi="ar"/>
              </w:rPr>
            </w:pPr>
            <w:r>
              <w:rPr>
                <w:rFonts w:hint="eastAsia" w:asciiTheme="minorEastAsia" w:hAnsiTheme="minorEastAsia" w:eastAsiaTheme="minorEastAsia" w:cstheme="minorEastAsia"/>
                <w:kern w:val="0"/>
                <w:sz w:val="24"/>
                <w:lang w:bidi="ar"/>
              </w:rPr>
              <w:t>4</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sz w:val="24"/>
              </w:rPr>
            </w:pPr>
          </w:p>
        </w:tc>
      </w:tr>
      <w:tr>
        <w:tblPrEx>
          <w:tblLayout w:type="fixed"/>
          <w:tblCellMar>
            <w:top w:w="0" w:type="dxa"/>
            <w:left w:w="0" w:type="dxa"/>
            <w:bottom w:w="0" w:type="dxa"/>
            <w:right w:w="0" w:type="dxa"/>
          </w:tblCellMar>
        </w:tblPrEx>
        <w:trPr>
          <w:trHeight w:val="23" w:hRule="atLeast"/>
        </w:trPr>
        <w:tc>
          <w:tcPr>
            <w:tcW w:w="83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sz w:val="24"/>
              </w:rPr>
            </w:pPr>
          </w:p>
        </w:tc>
        <w:tc>
          <w:tcPr>
            <w:tcW w:w="11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sz w:val="24"/>
              </w:rPr>
            </w:pPr>
          </w:p>
        </w:tc>
        <w:tc>
          <w:tcPr>
            <w:tcW w:w="28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spacing w:line="240" w:lineRule="atLeast"/>
              <w:ind w:firstLine="0" w:firstLineChars="0"/>
              <w:jc w:val="left"/>
              <w:textAlignment w:val="center"/>
              <w:rPr>
                <w:rFonts w:asciiTheme="minorEastAsia" w:hAnsiTheme="minorEastAsia" w:eastAsiaTheme="minorEastAsia" w:cstheme="minorEastAsia"/>
                <w:kern w:val="0"/>
                <w:sz w:val="24"/>
                <w:lang w:bidi="ar"/>
              </w:rPr>
            </w:pPr>
            <w:r>
              <w:rPr>
                <w:rFonts w:hint="eastAsia" w:asciiTheme="minorEastAsia" w:hAnsiTheme="minorEastAsia" w:eastAsiaTheme="minorEastAsia" w:cstheme="minorEastAsia"/>
                <w:kern w:val="0"/>
                <w:sz w:val="24"/>
                <w:lang w:bidi="ar"/>
              </w:rPr>
              <w:t>教育工作服务水平提升情况</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spacing w:line="240" w:lineRule="atLeast"/>
              <w:ind w:firstLine="0" w:firstLineChars="0"/>
              <w:jc w:val="center"/>
              <w:textAlignment w:val="center"/>
              <w:rPr>
                <w:rFonts w:asciiTheme="minorEastAsia" w:hAnsiTheme="minorEastAsia" w:eastAsiaTheme="minorEastAsia" w:cstheme="minorEastAsia"/>
                <w:kern w:val="0"/>
                <w:sz w:val="24"/>
                <w:lang w:bidi="ar"/>
              </w:rPr>
            </w:pPr>
            <w:r>
              <w:rPr>
                <w:rFonts w:hint="eastAsia" w:asciiTheme="minorEastAsia" w:hAnsiTheme="minorEastAsia" w:eastAsiaTheme="minorEastAsia" w:cstheme="minorEastAsia"/>
                <w:kern w:val="0"/>
                <w:sz w:val="24"/>
                <w:lang w:bidi="ar"/>
              </w:rPr>
              <w:t>有效提升</w:t>
            </w:r>
          </w:p>
        </w:tc>
        <w:tc>
          <w:tcPr>
            <w:tcW w:w="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spacing w:line="240" w:lineRule="atLeast"/>
              <w:ind w:firstLine="0" w:firstLineChars="0"/>
              <w:jc w:val="center"/>
              <w:textAlignment w:val="center"/>
              <w:rPr>
                <w:rFonts w:asciiTheme="minorEastAsia" w:hAnsiTheme="minorEastAsia" w:eastAsiaTheme="minorEastAsia" w:cstheme="minorEastAsia"/>
                <w:kern w:val="0"/>
                <w:sz w:val="24"/>
                <w:lang w:bidi="ar"/>
              </w:rPr>
            </w:pPr>
            <w:r>
              <w:rPr>
                <w:rFonts w:hint="eastAsia" w:asciiTheme="minorEastAsia" w:hAnsiTheme="minorEastAsia" w:eastAsiaTheme="minorEastAsia" w:cstheme="minorEastAsia"/>
                <w:kern w:val="0"/>
                <w:sz w:val="24"/>
                <w:lang w:bidi="ar"/>
              </w:rPr>
              <w:t>5</w:t>
            </w:r>
          </w:p>
        </w:tc>
        <w:tc>
          <w:tcPr>
            <w:tcW w:w="11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spacing w:line="240" w:lineRule="atLeast"/>
              <w:ind w:firstLine="0" w:firstLineChars="0"/>
              <w:jc w:val="center"/>
              <w:textAlignment w:val="center"/>
              <w:rPr>
                <w:rFonts w:asciiTheme="minorEastAsia" w:hAnsiTheme="minorEastAsia" w:eastAsiaTheme="minorEastAsia" w:cstheme="minorEastAsia"/>
                <w:kern w:val="0"/>
                <w:sz w:val="24"/>
                <w:lang w:bidi="ar"/>
              </w:rPr>
            </w:pPr>
            <w:r>
              <w:rPr>
                <w:rFonts w:hint="eastAsia" w:asciiTheme="minorEastAsia" w:hAnsiTheme="minorEastAsia" w:eastAsiaTheme="minorEastAsia" w:cstheme="minorEastAsia"/>
                <w:kern w:val="0"/>
                <w:sz w:val="24"/>
                <w:lang w:bidi="ar"/>
              </w:rPr>
              <w:t>83%</w:t>
            </w: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spacing w:line="240" w:lineRule="atLeast"/>
              <w:ind w:firstLine="0" w:firstLineChars="0"/>
              <w:jc w:val="center"/>
              <w:textAlignment w:val="center"/>
              <w:rPr>
                <w:rFonts w:asciiTheme="minorEastAsia" w:hAnsiTheme="minorEastAsia" w:eastAsiaTheme="minorEastAsia" w:cstheme="minorEastAsia"/>
                <w:kern w:val="0"/>
                <w:sz w:val="24"/>
                <w:lang w:bidi="ar"/>
              </w:rPr>
            </w:pPr>
            <w:r>
              <w:rPr>
                <w:rFonts w:hint="eastAsia" w:asciiTheme="minorEastAsia" w:hAnsiTheme="minorEastAsia" w:eastAsiaTheme="minorEastAsia" w:cstheme="minorEastAsia"/>
                <w:kern w:val="0"/>
                <w:sz w:val="24"/>
                <w:lang w:bidi="ar"/>
              </w:rPr>
              <w:t>4</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sz w:val="24"/>
              </w:rPr>
            </w:pPr>
          </w:p>
        </w:tc>
      </w:tr>
      <w:tr>
        <w:tblPrEx>
          <w:tblLayout w:type="fixed"/>
          <w:tblCellMar>
            <w:top w:w="0" w:type="dxa"/>
            <w:left w:w="0" w:type="dxa"/>
            <w:bottom w:w="0" w:type="dxa"/>
            <w:right w:w="0" w:type="dxa"/>
          </w:tblCellMar>
        </w:tblPrEx>
        <w:trPr>
          <w:trHeight w:val="23" w:hRule="atLeast"/>
        </w:trPr>
        <w:tc>
          <w:tcPr>
            <w:tcW w:w="83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sz w:val="24"/>
              </w:rPr>
            </w:pPr>
          </w:p>
        </w:tc>
        <w:tc>
          <w:tcPr>
            <w:tcW w:w="1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kern w:val="0"/>
                <w:sz w:val="24"/>
                <w:lang w:bidi="ar"/>
              </w:rPr>
              <w:t>可持续影响指标</w:t>
            </w:r>
          </w:p>
        </w:tc>
        <w:tc>
          <w:tcPr>
            <w:tcW w:w="28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spacing w:line="240" w:lineRule="atLeast"/>
              <w:ind w:firstLine="0" w:firstLineChars="0"/>
              <w:jc w:val="left"/>
              <w:textAlignment w:val="center"/>
              <w:rPr>
                <w:rFonts w:asciiTheme="minorEastAsia" w:hAnsiTheme="minorEastAsia" w:eastAsiaTheme="minorEastAsia" w:cstheme="minorEastAsia"/>
                <w:kern w:val="0"/>
                <w:sz w:val="24"/>
                <w:lang w:bidi="ar"/>
              </w:rPr>
            </w:pPr>
            <w:r>
              <w:rPr>
                <w:rFonts w:hint="eastAsia" w:asciiTheme="minorEastAsia" w:hAnsiTheme="minorEastAsia" w:eastAsiaTheme="minorEastAsia" w:cstheme="minorEastAsia"/>
                <w:kern w:val="0"/>
                <w:sz w:val="24"/>
                <w:lang w:bidi="ar"/>
              </w:rPr>
              <w:t>办学水平提高情况</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spacing w:line="240" w:lineRule="atLeast"/>
              <w:ind w:firstLine="0" w:firstLineChars="0"/>
              <w:jc w:val="center"/>
              <w:textAlignment w:val="center"/>
              <w:rPr>
                <w:rFonts w:asciiTheme="minorEastAsia" w:hAnsiTheme="minorEastAsia" w:eastAsiaTheme="minorEastAsia" w:cstheme="minorEastAsia"/>
                <w:kern w:val="0"/>
                <w:sz w:val="24"/>
                <w:lang w:bidi="ar"/>
              </w:rPr>
            </w:pPr>
            <w:r>
              <w:rPr>
                <w:rFonts w:hint="eastAsia" w:asciiTheme="minorEastAsia" w:hAnsiTheme="minorEastAsia" w:eastAsiaTheme="minorEastAsia" w:cstheme="minorEastAsia"/>
                <w:kern w:val="0"/>
                <w:sz w:val="24"/>
                <w:lang w:bidi="ar"/>
              </w:rPr>
              <w:t>持续提高</w:t>
            </w:r>
          </w:p>
        </w:tc>
        <w:tc>
          <w:tcPr>
            <w:tcW w:w="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spacing w:line="240" w:lineRule="atLeast"/>
              <w:ind w:firstLine="0" w:firstLineChars="0"/>
              <w:jc w:val="center"/>
              <w:textAlignment w:val="center"/>
              <w:rPr>
                <w:rFonts w:asciiTheme="minorEastAsia" w:hAnsiTheme="minorEastAsia" w:eastAsiaTheme="minorEastAsia" w:cstheme="minorEastAsia"/>
                <w:kern w:val="0"/>
                <w:sz w:val="24"/>
                <w:lang w:bidi="ar"/>
              </w:rPr>
            </w:pPr>
            <w:r>
              <w:rPr>
                <w:rFonts w:hint="eastAsia" w:asciiTheme="minorEastAsia" w:hAnsiTheme="minorEastAsia" w:eastAsiaTheme="minorEastAsia" w:cstheme="minorEastAsia"/>
                <w:kern w:val="0"/>
                <w:sz w:val="24"/>
                <w:lang w:bidi="ar"/>
              </w:rPr>
              <w:t>5</w:t>
            </w:r>
          </w:p>
        </w:tc>
        <w:tc>
          <w:tcPr>
            <w:tcW w:w="11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spacing w:line="240" w:lineRule="atLeast"/>
              <w:ind w:firstLine="0" w:firstLineChars="0"/>
              <w:jc w:val="center"/>
              <w:textAlignment w:val="center"/>
              <w:rPr>
                <w:rFonts w:asciiTheme="minorEastAsia" w:hAnsiTheme="minorEastAsia" w:eastAsiaTheme="minorEastAsia" w:cstheme="minorEastAsia"/>
                <w:kern w:val="0"/>
                <w:sz w:val="24"/>
                <w:lang w:bidi="ar"/>
              </w:rPr>
            </w:pPr>
            <w:r>
              <w:rPr>
                <w:rFonts w:hint="eastAsia" w:asciiTheme="minorEastAsia" w:hAnsiTheme="minorEastAsia" w:eastAsiaTheme="minorEastAsia" w:cstheme="minorEastAsia"/>
                <w:kern w:val="0"/>
                <w:sz w:val="24"/>
                <w:lang w:bidi="ar"/>
              </w:rPr>
              <w:t>75%</w:t>
            </w: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spacing w:line="240" w:lineRule="atLeast"/>
              <w:ind w:firstLine="0" w:firstLineChars="0"/>
              <w:jc w:val="center"/>
              <w:textAlignment w:val="center"/>
              <w:rPr>
                <w:rFonts w:asciiTheme="minorEastAsia" w:hAnsiTheme="minorEastAsia" w:eastAsiaTheme="minorEastAsia" w:cstheme="minorEastAsia"/>
                <w:kern w:val="0"/>
                <w:sz w:val="24"/>
                <w:lang w:bidi="ar"/>
              </w:rPr>
            </w:pPr>
            <w:r>
              <w:rPr>
                <w:rFonts w:hint="eastAsia" w:asciiTheme="minorEastAsia" w:hAnsiTheme="minorEastAsia" w:eastAsiaTheme="minorEastAsia" w:cstheme="minorEastAsia"/>
                <w:kern w:val="0"/>
                <w:sz w:val="24"/>
                <w:lang w:bidi="ar"/>
              </w:rPr>
              <w:t>4</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sz w:val="24"/>
              </w:rPr>
            </w:pPr>
          </w:p>
        </w:tc>
      </w:tr>
      <w:tr>
        <w:tblPrEx>
          <w:tblLayout w:type="fixed"/>
          <w:tblCellMar>
            <w:top w:w="0" w:type="dxa"/>
            <w:left w:w="0" w:type="dxa"/>
            <w:bottom w:w="0" w:type="dxa"/>
            <w:right w:w="0" w:type="dxa"/>
          </w:tblCellMar>
        </w:tblPrEx>
        <w:trPr>
          <w:trHeight w:val="23" w:hRule="atLeast"/>
        </w:trPr>
        <w:tc>
          <w:tcPr>
            <w:tcW w:w="83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sz w:val="24"/>
              </w:rPr>
            </w:pPr>
          </w:p>
        </w:tc>
        <w:tc>
          <w:tcPr>
            <w:tcW w:w="1115"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满意度指标</w:t>
            </w:r>
          </w:p>
        </w:tc>
        <w:tc>
          <w:tcPr>
            <w:tcW w:w="28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spacing w:line="240" w:lineRule="atLeast"/>
              <w:ind w:firstLine="0" w:firstLineChars="0"/>
              <w:jc w:val="left"/>
              <w:textAlignment w:val="center"/>
              <w:rPr>
                <w:rFonts w:asciiTheme="minorEastAsia" w:hAnsiTheme="minorEastAsia" w:eastAsiaTheme="minorEastAsia" w:cstheme="minorEastAsia"/>
                <w:kern w:val="0"/>
                <w:sz w:val="24"/>
                <w:lang w:bidi="ar"/>
              </w:rPr>
            </w:pPr>
            <w:r>
              <w:rPr>
                <w:rFonts w:hint="eastAsia" w:asciiTheme="minorEastAsia" w:hAnsiTheme="minorEastAsia" w:eastAsiaTheme="minorEastAsia" w:cstheme="minorEastAsia"/>
                <w:kern w:val="0"/>
                <w:sz w:val="24"/>
                <w:lang w:bidi="ar"/>
              </w:rPr>
              <w:t>教职工满意度（%）</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spacing w:line="240" w:lineRule="atLeast"/>
              <w:ind w:firstLine="0" w:firstLineChars="0"/>
              <w:jc w:val="center"/>
              <w:textAlignment w:val="center"/>
              <w:rPr>
                <w:rFonts w:asciiTheme="minorEastAsia" w:hAnsiTheme="minorEastAsia" w:eastAsiaTheme="minorEastAsia" w:cstheme="minorEastAsia"/>
                <w:kern w:val="0"/>
                <w:sz w:val="24"/>
                <w:lang w:bidi="ar"/>
              </w:rPr>
            </w:pPr>
            <w:r>
              <w:rPr>
                <w:rFonts w:hint="eastAsia" w:asciiTheme="minorEastAsia" w:hAnsiTheme="minorEastAsia" w:eastAsiaTheme="minorEastAsia" w:cstheme="minorEastAsia"/>
                <w:kern w:val="0"/>
                <w:sz w:val="24"/>
                <w:lang w:bidi="ar"/>
              </w:rPr>
              <w:t>≥90%</w:t>
            </w:r>
          </w:p>
        </w:tc>
        <w:tc>
          <w:tcPr>
            <w:tcW w:w="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spacing w:line="240" w:lineRule="atLeast"/>
              <w:ind w:firstLine="0" w:firstLineChars="0"/>
              <w:jc w:val="center"/>
              <w:textAlignment w:val="center"/>
              <w:rPr>
                <w:rFonts w:asciiTheme="minorEastAsia" w:hAnsiTheme="minorEastAsia" w:eastAsiaTheme="minorEastAsia" w:cstheme="minorEastAsia"/>
                <w:kern w:val="0"/>
                <w:sz w:val="24"/>
                <w:lang w:bidi="ar"/>
              </w:rPr>
            </w:pPr>
            <w:r>
              <w:rPr>
                <w:rFonts w:hint="eastAsia" w:asciiTheme="minorEastAsia" w:hAnsiTheme="minorEastAsia" w:eastAsiaTheme="minorEastAsia" w:cstheme="minorEastAsia"/>
                <w:kern w:val="0"/>
                <w:sz w:val="24"/>
                <w:lang w:bidi="ar"/>
              </w:rPr>
              <w:t>5</w:t>
            </w:r>
          </w:p>
        </w:tc>
        <w:tc>
          <w:tcPr>
            <w:tcW w:w="11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spacing w:line="240" w:lineRule="atLeast"/>
              <w:ind w:firstLine="0" w:firstLineChars="0"/>
              <w:jc w:val="center"/>
              <w:textAlignment w:val="center"/>
              <w:rPr>
                <w:rFonts w:asciiTheme="minorEastAsia" w:hAnsiTheme="minorEastAsia" w:eastAsiaTheme="minorEastAsia" w:cstheme="minorEastAsia"/>
                <w:kern w:val="0"/>
                <w:sz w:val="24"/>
                <w:lang w:bidi="ar"/>
              </w:rPr>
            </w:pPr>
            <w:r>
              <w:rPr>
                <w:rFonts w:hint="eastAsia" w:asciiTheme="minorEastAsia" w:hAnsiTheme="minorEastAsia" w:eastAsiaTheme="minorEastAsia" w:cstheme="minorEastAsia"/>
                <w:kern w:val="0"/>
                <w:sz w:val="24"/>
                <w:lang w:bidi="ar"/>
              </w:rPr>
              <w:t>83%</w:t>
            </w: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spacing w:line="240" w:lineRule="atLeast"/>
              <w:ind w:firstLine="0" w:firstLineChars="0"/>
              <w:jc w:val="center"/>
              <w:textAlignment w:val="center"/>
              <w:rPr>
                <w:rFonts w:asciiTheme="minorEastAsia" w:hAnsiTheme="minorEastAsia" w:eastAsiaTheme="minorEastAsia" w:cstheme="minorEastAsia"/>
                <w:kern w:val="0"/>
                <w:sz w:val="24"/>
                <w:lang w:bidi="ar"/>
              </w:rPr>
            </w:pPr>
            <w:r>
              <w:rPr>
                <w:rFonts w:hint="eastAsia" w:asciiTheme="minorEastAsia" w:hAnsiTheme="minorEastAsia" w:eastAsiaTheme="minorEastAsia" w:cstheme="minorEastAsia"/>
                <w:kern w:val="0"/>
                <w:sz w:val="24"/>
                <w:lang w:bidi="ar"/>
              </w:rPr>
              <w:t>3</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sz w:val="24"/>
              </w:rPr>
            </w:pPr>
          </w:p>
        </w:tc>
      </w:tr>
      <w:tr>
        <w:tblPrEx>
          <w:tblLayout w:type="fixed"/>
          <w:tblCellMar>
            <w:top w:w="0" w:type="dxa"/>
            <w:left w:w="0" w:type="dxa"/>
            <w:bottom w:w="0" w:type="dxa"/>
            <w:right w:w="0" w:type="dxa"/>
          </w:tblCellMar>
        </w:tblPrEx>
        <w:trPr>
          <w:trHeight w:val="23" w:hRule="atLeast"/>
        </w:trPr>
        <w:tc>
          <w:tcPr>
            <w:tcW w:w="83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sz w:val="24"/>
              </w:rPr>
            </w:pPr>
          </w:p>
        </w:tc>
        <w:tc>
          <w:tcPr>
            <w:tcW w:w="1115"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sz w:val="24"/>
              </w:rPr>
            </w:pPr>
          </w:p>
        </w:tc>
        <w:tc>
          <w:tcPr>
            <w:tcW w:w="28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spacing w:line="240" w:lineRule="atLeast"/>
              <w:ind w:firstLine="0" w:firstLineChars="0"/>
              <w:jc w:val="left"/>
              <w:textAlignment w:val="center"/>
              <w:rPr>
                <w:rFonts w:asciiTheme="minorEastAsia" w:hAnsiTheme="minorEastAsia" w:eastAsiaTheme="minorEastAsia" w:cstheme="minorEastAsia"/>
                <w:kern w:val="0"/>
                <w:sz w:val="24"/>
                <w:lang w:bidi="ar"/>
              </w:rPr>
            </w:pPr>
            <w:r>
              <w:rPr>
                <w:rFonts w:hint="eastAsia" w:asciiTheme="minorEastAsia" w:hAnsiTheme="minorEastAsia" w:eastAsiaTheme="minorEastAsia" w:cstheme="minorEastAsia"/>
                <w:kern w:val="0"/>
                <w:sz w:val="24"/>
                <w:lang w:bidi="ar"/>
              </w:rPr>
              <w:t>学员满意度（%）</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spacing w:line="240" w:lineRule="atLeast"/>
              <w:ind w:firstLine="0" w:firstLineChars="0"/>
              <w:jc w:val="center"/>
              <w:textAlignment w:val="center"/>
              <w:rPr>
                <w:rFonts w:asciiTheme="minorEastAsia" w:hAnsiTheme="minorEastAsia" w:eastAsiaTheme="minorEastAsia" w:cstheme="minorEastAsia"/>
                <w:kern w:val="0"/>
                <w:sz w:val="24"/>
                <w:lang w:bidi="ar"/>
              </w:rPr>
            </w:pPr>
            <w:r>
              <w:rPr>
                <w:rFonts w:hint="eastAsia" w:asciiTheme="minorEastAsia" w:hAnsiTheme="minorEastAsia" w:eastAsiaTheme="minorEastAsia" w:cstheme="minorEastAsia"/>
                <w:kern w:val="0"/>
                <w:sz w:val="24"/>
                <w:lang w:bidi="ar"/>
              </w:rPr>
              <w:t>≥90%</w:t>
            </w:r>
          </w:p>
        </w:tc>
        <w:tc>
          <w:tcPr>
            <w:tcW w:w="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spacing w:line="240" w:lineRule="atLeast"/>
              <w:ind w:firstLine="0" w:firstLineChars="0"/>
              <w:jc w:val="center"/>
              <w:textAlignment w:val="center"/>
              <w:rPr>
                <w:rFonts w:asciiTheme="minorEastAsia" w:hAnsiTheme="minorEastAsia" w:eastAsiaTheme="minorEastAsia" w:cstheme="minorEastAsia"/>
                <w:kern w:val="0"/>
                <w:sz w:val="24"/>
                <w:lang w:bidi="ar"/>
              </w:rPr>
            </w:pPr>
            <w:r>
              <w:rPr>
                <w:rFonts w:hint="eastAsia" w:asciiTheme="minorEastAsia" w:hAnsiTheme="minorEastAsia" w:eastAsiaTheme="minorEastAsia" w:cstheme="minorEastAsia"/>
                <w:kern w:val="0"/>
                <w:sz w:val="24"/>
                <w:lang w:bidi="ar"/>
              </w:rPr>
              <w:t>5</w:t>
            </w:r>
          </w:p>
        </w:tc>
        <w:tc>
          <w:tcPr>
            <w:tcW w:w="11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ind w:firstLine="240" w:firstLineChars="100"/>
              <w:rPr>
                <w:rFonts w:eastAsia="Times New Roman"/>
                <w:sz w:val="18"/>
              </w:rPr>
            </w:pPr>
            <w:r>
              <w:rPr>
                <w:rFonts w:hint="eastAsia" w:asciiTheme="minorEastAsia" w:hAnsiTheme="minorEastAsia" w:eastAsiaTheme="minorEastAsia" w:cstheme="minorEastAsia"/>
                <w:kern w:val="0"/>
                <w:sz w:val="24"/>
                <w:lang w:bidi="ar"/>
              </w:rPr>
              <w:t>75%</w:t>
            </w: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ind w:firstLine="0" w:firstLineChars="0"/>
              <w:rPr>
                <w:rFonts w:ascii="宋体" w:hAnsi="宋体"/>
                <w:sz w:val="22"/>
              </w:rPr>
            </w:pPr>
            <w:r>
              <w:rPr>
                <w:rFonts w:hint="eastAsia" w:ascii="宋体" w:hAnsi="宋体"/>
                <w:sz w:val="22"/>
              </w:rPr>
              <w:t xml:space="preserve">  3</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sz w:val="24"/>
              </w:rPr>
            </w:pPr>
          </w:p>
        </w:tc>
      </w:tr>
      <w:tr>
        <w:tblPrEx>
          <w:tblLayout w:type="fixed"/>
          <w:tblCellMar>
            <w:top w:w="0" w:type="dxa"/>
            <w:left w:w="0" w:type="dxa"/>
            <w:bottom w:w="0" w:type="dxa"/>
            <w:right w:w="0" w:type="dxa"/>
          </w:tblCellMar>
        </w:tblPrEx>
        <w:trPr>
          <w:trHeight w:val="23" w:hRule="atLeast"/>
        </w:trPr>
        <w:tc>
          <w:tcPr>
            <w:tcW w:w="622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合计</w:t>
            </w:r>
          </w:p>
        </w:tc>
        <w:tc>
          <w:tcPr>
            <w:tcW w:w="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30</w:t>
            </w:r>
          </w:p>
        </w:tc>
        <w:tc>
          <w:tcPr>
            <w:tcW w:w="11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sz w:val="24"/>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23</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sz w:val="24"/>
              </w:rPr>
            </w:pPr>
          </w:p>
        </w:tc>
      </w:tr>
    </w:tbl>
    <w:p>
      <w:pPr>
        <w:pStyle w:val="3"/>
        <w:ind w:firstLine="640"/>
      </w:pPr>
      <w:r>
        <w:rPr>
          <w:rFonts w:hint="eastAsia"/>
        </w:rPr>
        <w:t>五、主要经验及做法、存在的问题及原因分析</w:t>
      </w:r>
    </w:p>
    <w:p>
      <w:pPr>
        <w:pStyle w:val="4"/>
        <w:numPr>
          <w:ilvl w:val="0"/>
          <w:numId w:val="7"/>
        </w:numPr>
        <w:ind w:firstLine="643"/>
      </w:pPr>
      <w:bookmarkStart w:id="14" w:name="_Toc1921"/>
      <w:bookmarkStart w:id="15" w:name="_Toc28290"/>
      <w:r>
        <w:rPr>
          <w:rFonts w:hint="eastAsia"/>
        </w:rPr>
        <w:t>主要经验及做法</w:t>
      </w:r>
    </w:p>
    <w:p>
      <w:pPr>
        <w:ind w:firstLine="560"/>
      </w:pPr>
      <w:r>
        <w:rPr>
          <w:rFonts w:hint="eastAsia"/>
        </w:rPr>
        <w:tab/>
      </w:r>
      <w:r>
        <w:rPr>
          <w:rFonts w:hint="eastAsia"/>
        </w:rPr>
        <w:t>该项目资金用于办公经费从本项目实施情况看,整个项目在资金安排、方案设计、资金质量、规范管理和维护等方面均有充分考虑,有效地服务于学生及教职工,较好地达到项目预期目标。支付这项目资金当中，按照</w:t>
      </w:r>
      <w:r>
        <w:rPr>
          <w:rFonts w:hint="eastAsia"/>
          <w:szCs w:val="28"/>
        </w:rPr>
        <w:t>严格执行财务管理规定，切实做到账目清楚，票据规范，确保经费专款专用</w:t>
      </w:r>
      <w:r>
        <w:rPr>
          <w:rFonts w:hint="eastAsia"/>
        </w:rPr>
        <w:t xml:space="preserve"> 。</w:t>
      </w:r>
    </w:p>
    <w:bookmarkEnd w:id="14"/>
    <w:bookmarkEnd w:id="15"/>
    <w:p>
      <w:pPr>
        <w:pStyle w:val="4"/>
        <w:numPr>
          <w:ilvl w:val="0"/>
          <w:numId w:val="7"/>
        </w:numPr>
        <w:ind w:firstLine="643"/>
      </w:pPr>
      <w:r>
        <w:rPr>
          <w:rFonts w:hint="eastAsia"/>
        </w:rPr>
        <w:t>存在的问题及原因分析</w:t>
      </w:r>
    </w:p>
    <w:p>
      <w:pPr>
        <w:pStyle w:val="3"/>
        <w:ind w:firstLine="840" w:firstLineChars="300"/>
        <w:rPr>
          <w:rFonts w:eastAsia="仿宋_GB2312"/>
          <w:kern w:val="2"/>
          <w:sz w:val="28"/>
          <w:szCs w:val="28"/>
        </w:rPr>
      </w:pPr>
      <w:r>
        <w:rPr>
          <w:rFonts w:hint="eastAsia" w:eastAsia="仿宋_GB2312"/>
          <w:kern w:val="2"/>
          <w:sz w:val="28"/>
          <w:szCs w:val="28"/>
        </w:rPr>
        <w:t>无</w:t>
      </w:r>
    </w:p>
    <w:p>
      <w:pPr>
        <w:pStyle w:val="3"/>
        <w:ind w:firstLine="640"/>
      </w:pPr>
      <w:r>
        <w:rPr>
          <w:rFonts w:hint="eastAsia"/>
        </w:rPr>
        <w:t>六、有关建议</w:t>
      </w:r>
    </w:p>
    <w:p>
      <w:pPr>
        <w:pStyle w:val="3"/>
        <w:ind w:firstLine="560"/>
        <w:rPr>
          <w:rFonts w:eastAsia="仿宋_GB2312"/>
          <w:kern w:val="2"/>
          <w:sz w:val="28"/>
          <w:szCs w:val="28"/>
        </w:rPr>
      </w:pPr>
      <w:r>
        <w:rPr>
          <w:rFonts w:hint="eastAsia" w:eastAsia="仿宋_GB2312"/>
          <w:kern w:val="2"/>
          <w:sz w:val="28"/>
          <w:szCs w:val="28"/>
        </w:rPr>
        <w:t>以后做好项目资金的管理，严格按照各项目预算的绩效目标、开支额度、开支范围、开支时间等上报列支，一般不得进行超范围超预算超绩效考核内容的项目经费支出，保障项目资金的合理使用性。建议类似项目是否合并做绩效，可以减轻工作量。</w:t>
      </w:r>
    </w:p>
    <w:p>
      <w:pPr>
        <w:pStyle w:val="3"/>
        <w:ind w:firstLine="640"/>
      </w:pPr>
      <w:r>
        <w:rPr>
          <w:rFonts w:hint="eastAsia"/>
        </w:rPr>
        <w:t>七、其他需要说明的问题</w:t>
      </w:r>
    </w:p>
    <w:p>
      <w:pPr>
        <w:ind w:firstLine="544"/>
        <w:rPr>
          <w:strike/>
          <w:spacing w:val="-4"/>
          <w:szCs w:val="32"/>
        </w:rPr>
      </w:pPr>
      <w:r>
        <w:rPr>
          <w:rFonts w:hint="eastAsia"/>
          <w:spacing w:val="-4"/>
          <w:szCs w:val="32"/>
        </w:rPr>
        <w:t>“无其他说明内容”。</w:t>
      </w:r>
    </w:p>
    <w:p>
      <w:pPr>
        <w:ind w:firstLine="0" w:firstLineChars="0"/>
      </w:pPr>
    </w:p>
    <w:sectPr>
      <w:footerReference r:id="rId9" w:type="default"/>
      <w:pgSz w:w="16838" w:h="11906" w:orient="landscape"/>
      <w:pgMar w:top="1531" w:right="1928" w:bottom="1531" w:left="170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swiss"/>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ind w:firstLine="360"/>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9"/>
                      <w:ind w:firstLine="360"/>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D5637710"/>
    <w:multiLevelType w:val="singleLevel"/>
    <w:tmpl w:val="D5637710"/>
    <w:lvl w:ilvl="0" w:tentative="0">
      <w:start w:val="2"/>
      <w:numFmt w:val="decimal"/>
      <w:suff w:val="nothing"/>
      <w:lvlText w:val="（%1）"/>
      <w:lvlJc w:val="left"/>
    </w:lvl>
  </w:abstractNum>
  <w:abstractNum w:abstractNumId="3">
    <w:nsid w:val="F8E64B2D"/>
    <w:multiLevelType w:val="singleLevel"/>
    <w:tmpl w:val="F8E64B2D"/>
    <w:lvl w:ilvl="0" w:tentative="0">
      <w:start w:val="3"/>
      <w:numFmt w:val="chineseCounting"/>
      <w:suff w:val="nothing"/>
      <w:lvlText w:val="%1、"/>
      <w:lvlJc w:val="left"/>
      <w:rPr>
        <w:rFonts w:hint="eastAsia"/>
      </w:rPr>
    </w:lvl>
  </w:abstractNum>
  <w:abstractNum w:abstractNumId="4">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5">
    <w:nsid w:val="3A7260C0"/>
    <w:multiLevelType w:val="multilevel"/>
    <w:tmpl w:val="3A7260C0"/>
    <w:lvl w:ilvl="0" w:tentative="0">
      <w:start w:val="1"/>
      <w:numFmt w:val="chineseCountingThousand"/>
      <w:pStyle w:val="16"/>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4166511E"/>
    <w:multiLevelType w:val="singleLevel"/>
    <w:tmpl w:val="4166511E"/>
    <w:lvl w:ilvl="0" w:tentative="0">
      <w:start w:val="1"/>
      <w:numFmt w:val="chineseCounting"/>
      <w:suff w:val="nothing"/>
      <w:lvlText w:val="（%1）"/>
      <w:lvlJc w:val="left"/>
      <w:rPr>
        <w:rFonts w:hint="eastAsia"/>
      </w:rPr>
    </w:lvl>
  </w:abstractNum>
  <w:num w:numId="1">
    <w:abstractNumId w:val="5"/>
  </w:num>
  <w:num w:numId="2">
    <w:abstractNumId w:val="2"/>
  </w:num>
  <w:num w:numId="3">
    <w:abstractNumId w:val="0"/>
  </w:num>
  <w:num w:numId="4">
    <w:abstractNumId w:val="1"/>
  </w:num>
  <w:num w:numId="5">
    <w:abstractNumId w:val="4"/>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901EC"/>
    <w:rsid w:val="00172A27"/>
    <w:rsid w:val="00386259"/>
    <w:rsid w:val="006D408A"/>
    <w:rsid w:val="0075294E"/>
    <w:rsid w:val="007D4587"/>
    <w:rsid w:val="009B5A6C"/>
    <w:rsid w:val="009B5CF5"/>
    <w:rsid w:val="00B622FC"/>
    <w:rsid w:val="00D66EBB"/>
    <w:rsid w:val="00D94C26"/>
    <w:rsid w:val="00E50456"/>
    <w:rsid w:val="01AD564E"/>
    <w:rsid w:val="060C4413"/>
    <w:rsid w:val="0AB822FD"/>
    <w:rsid w:val="0CE57393"/>
    <w:rsid w:val="0FF62C78"/>
    <w:rsid w:val="12F1313F"/>
    <w:rsid w:val="13015CBA"/>
    <w:rsid w:val="1558214B"/>
    <w:rsid w:val="1AFF22FE"/>
    <w:rsid w:val="1DD7655A"/>
    <w:rsid w:val="1F1C13C4"/>
    <w:rsid w:val="245E1E24"/>
    <w:rsid w:val="246B3171"/>
    <w:rsid w:val="27991469"/>
    <w:rsid w:val="2821568C"/>
    <w:rsid w:val="282D2FF1"/>
    <w:rsid w:val="28B437E4"/>
    <w:rsid w:val="2C103347"/>
    <w:rsid w:val="2D653C5A"/>
    <w:rsid w:val="2DE5300F"/>
    <w:rsid w:val="2E483E7E"/>
    <w:rsid w:val="31230AF7"/>
    <w:rsid w:val="332F7DDD"/>
    <w:rsid w:val="33761CCC"/>
    <w:rsid w:val="33944516"/>
    <w:rsid w:val="36185B49"/>
    <w:rsid w:val="37AF3130"/>
    <w:rsid w:val="37B31BE4"/>
    <w:rsid w:val="3D0F030F"/>
    <w:rsid w:val="3D86330F"/>
    <w:rsid w:val="40990962"/>
    <w:rsid w:val="4224353C"/>
    <w:rsid w:val="42FE3854"/>
    <w:rsid w:val="498F2B8B"/>
    <w:rsid w:val="4BAD5973"/>
    <w:rsid w:val="4EAB0394"/>
    <w:rsid w:val="4F733A2D"/>
    <w:rsid w:val="52153175"/>
    <w:rsid w:val="5D87634F"/>
    <w:rsid w:val="60937F5E"/>
    <w:rsid w:val="61691626"/>
    <w:rsid w:val="61EA3381"/>
    <w:rsid w:val="636D1879"/>
    <w:rsid w:val="68291A1A"/>
    <w:rsid w:val="691B1594"/>
    <w:rsid w:val="6F0D6C22"/>
    <w:rsid w:val="71962043"/>
    <w:rsid w:val="72FC243F"/>
    <w:rsid w:val="73E51CB6"/>
    <w:rsid w:val="76D2301A"/>
    <w:rsid w:val="77800660"/>
    <w:rsid w:val="77861774"/>
    <w:rsid w:val="785C2702"/>
    <w:rsid w:val="79300B45"/>
    <w:rsid w:val="79A17504"/>
    <w:rsid w:val="7E354538"/>
    <w:rsid w:val="7E617414"/>
    <w:rsid w:val="7E7C6D11"/>
    <w:rsid w:val="7EEE51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5">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1">
    <w:name w:val="Default Paragraph Font"/>
    <w:semiHidden/>
    <w:unhideWhenUsed/>
    <w:qFormat/>
    <w:uiPriority w:val="1"/>
  </w:style>
  <w:style w:type="table" w:default="1" w:styleId="13">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6">
    <w:name w:val="annotation subject"/>
    <w:basedOn w:val="7"/>
    <w:next w:val="7"/>
    <w:link w:val="19"/>
    <w:qFormat/>
    <w:uiPriority w:val="0"/>
    <w:rPr>
      <w:b/>
      <w:bCs/>
    </w:rPr>
  </w:style>
  <w:style w:type="paragraph" w:styleId="7">
    <w:name w:val="annotation text"/>
    <w:basedOn w:val="1"/>
    <w:link w:val="18"/>
    <w:qFormat/>
    <w:uiPriority w:val="0"/>
    <w:pPr>
      <w:jc w:val="left"/>
    </w:pPr>
  </w:style>
  <w:style w:type="paragraph" w:styleId="8">
    <w:name w:val="Balloon Text"/>
    <w:basedOn w:val="1"/>
    <w:link w:val="17"/>
    <w:qFormat/>
    <w:uiPriority w:val="0"/>
    <w:pPr>
      <w:spacing w:line="240" w:lineRule="auto"/>
    </w:pPr>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character" w:styleId="12">
    <w:name w:val="annotation reference"/>
    <w:basedOn w:val="11"/>
    <w:qFormat/>
    <w:uiPriority w:val="0"/>
    <w:rPr>
      <w:sz w:val="21"/>
      <w:szCs w:val="21"/>
    </w:r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6">
    <w:name w:val="标题2"/>
    <w:basedOn w:val="4"/>
    <w:qFormat/>
    <w:uiPriority w:val="0"/>
    <w:pPr>
      <w:numPr>
        <w:ilvl w:val="0"/>
        <w:numId w:val="1"/>
      </w:numPr>
      <w:spacing w:before="120" w:after="120" w:line="500" w:lineRule="exact"/>
    </w:pPr>
    <w:rPr>
      <w:rFonts w:ascii="仿宋_GB2312" w:eastAsia="仿宋_GB2312"/>
    </w:rPr>
  </w:style>
  <w:style w:type="character" w:customStyle="1" w:styleId="17">
    <w:name w:val="批注框文本 Char"/>
    <w:basedOn w:val="11"/>
    <w:link w:val="8"/>
    <w:qFormat/>
    <w:uiPriority w:val="0"/>
    <w:rPr>
      <w:rFonts w:eastAsia="仿宋_GB2312"/>
      <w:kern w:val="2"/>
      <w:sz w:val="18"/>
      <w:szCs w:val="18"/>
    </w:rPr>
  </w:style>
  <w:style w:type="character" w:customStyle="1" w:styleId="18">
    <w:name w:val="批注文字 Char"/>
    <w:basedOn w:val="11"/>
    <w:link w:val="7"/>
    <w:qFormat/>
    <w:uiPriority w:val="0"/>
    <w:rPr>
      <w:rFonts w:eastAsia="仿宋_GB2312"/>
      <w:kern w:val="2"/>
      <w:sz w:val="28"/>
      <w:szCs w:val="24"/>
    </w:rPr>
  </w:style>
  <w:style w:type="character" w:customStyle="1" w:styleId="19">
    <w:name w:val="批注主题 Char"/>
    <w:basedOn w:val="18"/>
    <w:link w:val="6"/>
    <w:qFormat/>
    <w:uiPriority w:val="0"/>
    <w:rPr>
      <w:rFonts w:eastAsia="仿宋_GB2312"/>
      <w:b/>
      <w:bCs/>
      <w:kern w:val="2"/>
      <w:sz w:val="28"/>
      <w:szCs w:val="24"/>
    </w:rPr>
  </w:style>
  <w:style w:type="paragraph" w:customStyle="1" w:styleId="20">
    <w:name w:val="p15"/>
    <w:basedOn w:val="1"/>
    <w:qFormat/>
    <w:uiPriority w:val="0"/>
    <w:pPr>
      <w:spacing w:before="100" w:after="100" w:line="240" w:lineRule="auto"/>
    </w:pPr>
    <w:rPr>
      <w:rFonts w:cs="Calibri"/>
      <w:kern w:val="0"/>
      <w:sz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CDD3B94-9C3B-470E-B746-BC1A2B67E5E5}">
  <ds:schemaRefs/>
</ds:datastoreItem>
</file>

<file path=docProps/app.xml><?xml version="1.0" encoding="utf-8"?>
<Properties xmlns="http://schemas.openxmlformats.org/officeDocument/2006/extended-properties" xmlns:vt="http://schemas.openxmlformats.org/officeDocument/2006/docPropsVTypes">
  <Template>Normal</Template>
  <Company>电脑维修 数据恢复</Company>
  <Pages>1</Pages>
  <Words>1870</Words>
  <Characters>10664</Characters>
  <Lines>88</Lines>
  <Paragraphs>25</Paragraphs>
  <TotalTime>96</TotalTime>
  <ScaleCrop>false</ScaleCrop>
  <LinksUpToDate>false</LinksUpToDate>
  <CharactersWithSpaces>12509</CharactersWithSpaces>
  <Application>WPS Office_10.8.2.6990_F1E327BC-269C-435d-A152-05C5408002CA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Administrator</cp:lastModifiedBy>
  <dcterms:modified xsi:type="dcterms:W3CDTF">2020-10-29T08:23:23Z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ies>
</file>