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安居房质量督查费项目支出绩效评价报告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项目名称：安居房质量督查费项目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实施单位：和田地区富民安居工程建设局</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主管部门：和田地区住房和城乡建设局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安居房质量督查费项目支出绩效评价报告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color w:val="000000"/>
        </w:rPr>
      </w:pPr>
      <w:r>
        <w:rPr>
          <w:rFonts w:hint="eastAsia"/>
          <w:color w:val="000000"/>
        </w:rPr>
        <w:t>近年来，我单位为落实自治区总目标，在和田地区七县一市为修建能防震抗灾的安居房。</w:t>
      </w:r>
    </w:p>
    <w:p>
      <w:pPr>
        <w:pStyle w:val="2"/>
        <w:ind w:firstLine="562"/>
      </w:pPr>
      <w:r>
        <w:rPr>
          <w:rFonts w:hint="eastAsia"/>
        </w:rPr>
        <w:t>2.项目实施主体</w:t>
      </w:r>
    </w:p>
    <w:p>
      <w:pPr>
        <w:ind w:firstLine="560"/>
        <w:rPr>
          <w:szCs w:val="28"/>
        </w:rPr>
      </w:pPr>
      <w:r>
        <w:rPr>
          <w:rFonts w:hint="eastAsia"/>
          <w:szCs w:val="28"/>
        </w:rPr>
        <w:t>安居房质量督查费项目的实施主体是和田地区住建局单位职能主要包括：</w:t>
      </w:r>
    </w:p>
    <w:p>
      <w:pPr>
        <w:numPr>
          <w:ilvl w:val="0"/>
          <w:numId w:val="2"/>
        </w:numPr>
        <w:ind w:firstLine="560"/>
        <w:rPr>
          <w:rFonts w:ascii="仿宋_GB2312" w:hAnsi="仿宋_GB2312" w:cs="宋体"/>
          <w:color w:val="000000"/>
          <w:kern w:val="18"/>
          <w:szCs w:val="28"/>
        </w:rPr>
      </w:pPr>
      <w:r>
        <w:rPr>
          <w:rFonts w:hint="eastAsia" w:ascii="仿宋_GB2312" w:hAnsi="仿宋_GB2312" w:cs="宋体"/>
          <w:color w:val="000000"/>
          <w:kern w:val="18"/>
          <w:szCs w:val="28"/>
        </w:rPr>
        <w:t>承担全地区保障城镇住房的责任；</w:t>
      </w:r>
    </w:p>
    <w:p>
      <w:pPr>
        <w:numPr>
          <w:ilvl w:val="0"/>
          <w:numId w:val="2"/>
        </w:numPr>
        <w:ind w:firstLine="560"/>
        <w:rPr>
          <w:rFonts w:ascii="仿宋_GB2312" w:hAnsi="仿宋_GB2312" w:cs="宋体"/>
          <w:color w:val="000000"/>
          <w:kern w:val="18"/>
          <w:szCs w:val="28"/>
        </w:rPr>
      </w:pPr>
      <w:r>
        <w:rPr>
          <w:rFonts w:hint="eastAsia" w:ascii="仿宋_GB2312" w:hAnsi="仿宋_GB2312" w:cs="宋体"/>
          <w:color w:val="000000"/>
          <w:kern w:val="18"/>
          <w:szCs w:val="28"/>
        </w:rPr>
        <w:t>承担推进全地区住房制度改革的责任；</w:t>
      </w:r>
    </w:p>
    <w:p>
      <w:pPr>
        <w:numPr>
          <w:ilvl w:val="0"/>
          <w:numId w:val="2"/>
        </w:numPr>
        <w:ind w:firstLine="560"/>
        <w:rPr>
          <w:rFonts w:ascii="仿宋_GB2312" w:hAnsi="仿宋_GB2312" w:cs="宋体"/>
          <w:color w:val="000000"/>
          <w:kern w:val="18"/>
          <w:szCs w:val="28"/>
        </w:rPr>
      </w:pPr>
      <w:r>
        <w:rPr>
          <w:rFonts w:hint="eastAsia" w:ascii="仿宋_GB2312" w:hAnsi="仿宋_GB2312" w:cs="宋体"/>
          <w:color w:val="000000"/>
          <w:kern w:val="18"/>
          <w:szCs w:val="28"/>
        </w:rPr>
        <w:t>承担规范全地区住房和城乡建设管理秩序的责任；</w:t>
      </w:r>
    </w:p>
    <w:p>
      <w:pPr>
        <w:numPr>
          <w:ilvl w:val="0"/>
          <w:numId w:val="2"/>
        </w:numPr>
        <w:ind w:firstLine="560"/>
        <w:rPr>
          <w:szCs w:val="28"/>
        </w:rPr>
      </w:pPr>
      <w:r>
        <w:rPr>
          <w:rFonts w:hint="eastAsia" w:ascii="仿宋_GB2312" w:hAnsi="仿宋_GB2312" w:cs="宋体"/>
          <w:color w:val="000000"/>
          <w:kern w:val="18"/>
          <w:szCs w:val="28"/>
        </w:rPr>
        <w:t>承担监督实施全地区工程建设标准的责任；</w:t>
      </w:r>
    </w:p>
    <w:p>
      <w:pPr>
        <w:numPr>
          <w:ilvl w:val="0"/>
          <w:numId w:val="2"/>
        </w:numPr>
        <w:ind w:firstLine="560"/>
        <w:rPr>
          <w:szCs w:val="28"/>
        </w:rPr>
      </w:pPr>
      <w:r>
        <w:rPr>
          <w:rFonts w:hint="eastAsia" w:ascii="仿宋_GB2312" w:hAnsi="仿宋_GB2312" w:cs="宋体"/>
          <w:color w:val="000000"/>
          <w:kern w:val="18"/>
          <w:szCs w:val="28"/>
        </w:rPr>
        <w:t>承担规范全地区房地产市场秩序、监督管理全地区房地产市场的责任；</w:t>
      </w:r>
    </w:p>
    <w:p>
      <w:pPr>
        <w:numPr>
          <w:ilvl w:val="0"/>
          <w:numId w:val="2"/>
        </w:numPr>
        <w:ind w:firstLine="560"/>
        <w:rPr>
          <w:szCs w:val="28"/>
        </w:rPr>
      </w:pPr>
      <w:r>
        <w:rPr>
          <w:rFonts w:hint="eastAsia" w:ascii="仿宋_GB2312" w:hAnsi="仿宋_GB2312" w:cs="宋体"/>
          <w:color w:val="000000"/>
          <w:kern w:val="18"/>
          <w:szCs w:val="28"/>
        </w:rPr>
        <w:t>监督管理全地区建筑市场，规范各方主体行为；</w:t>
      </w:r>
    </w:p>
    <w:p>
      <w:pPr>
        <w:numPr>
          <w:ilvl w:val="0"/>
          <w:numId w:val="2"/>
        </w:numPr>
        <w:ind w:firstLine="560"/>
        <w:rPr>
          <w:szCs w:val="28"/>
        </w:rPr>
      </w:pPr>
      <w:r>
        <w:rPr>
          <w:rFonts w:hint="eastAsia" w:ascii="仿宋_GB2312" w:hAnsi="仿宋_GB2312" w:cs="宋体"/>
          <w:color w:val="000000"/>
          <w:kern w:val="18"/>
          <w:szCs w:val="28"/>
        </w:rPr>
        <w:t>监督执行全地区</w:t>
      </w:r>
      <w:r>
        <w:rPr>
          <w:rFonts w:hint="eastAsia" w:ascii="仿宋_GB2312" w:hAnsi="仿宋_GB2312" w:cs="宋体"/>
          <w:kern w:val="18"/>
          <w:szCs w:val="28"/>
        </w:rPr>
        <w:t>城市建设的政策、拟定</w:t>
      </w:r>
      <w:r>
        <w:rPr>
          <w:rFonts w:hint="eastAsia" w:ascii="仿宋_GB2312" w:hAnsi="仿宋_GB2312" w:cs="宋体"/>
          <w:color w:val="000000"/>
          <w:kern w:val="18"/>
          <w:szCs w:val="28"/>
        </w:rPr>
        <w:t>全地区</w:t>
      </w:r>
      <w:r>
        <w:rPr>
          <w:rFonts w:hint="eastAsia" w:ascii="仿宋_GB2312" w:hAnsi="仿宋_GB2312" w:cs="宋体"/>
          <w:kern w:val="18"/>
          <w:szCs w:val="28"/>
        </w:rPr>
        <w:t>城市建设规划并指导实施；</w:t>
      </w:r>
    </w:p>
    <w:p>
      <w:pPr>
        <w:numPr>
          <w:ilvl w:val="0"/>
          <w:numId w:val="2"/>
        </w:numPr>
        <w:ind w:firstLine="560"/>
        <w:rPr>
          <w:szCs w:val="28"/>
        </w:rPr>
      </w:pPr>
      <w:r>
        <w:rPr>
          <w:rFonts w:hint="eastAsia" w:ascii="仿宋_GB2312" w:hAnsi="仿宋_GB2312" w:cs="宋体"/>
          <w:color w:val="000000"/>
          <w:kern w:val="18"/>
          <w:szCs w:val="28"/>
        </w:rPr>
        <w:t>承担规范和指导全地区村镇建设的责任；</w:t>
      </w:r>
    </w:p>
    <w:p>
      <w:pPr>
        <w:numPr>
          <w:ilvl w:val="0"/>
          <w:numId w:val="2"/>
        </w:numPr>
        <w:ind w:firstLine="560"/>
        <w:rPr>
          <w:szCs w:val="28"/>
        </w:rPr>
      </w:pPr>
      <w:r>
        <w:rPr>
          <w:rFonts w:hint="eastAsia" w:ascii="仿宋_GB2312" w:hAnsi="仿宋_GB2312" w:cs="宋体"/>
          <w:color w:val="000000"/>
          <w:kern w:val="18"/>
          <w:szCs w:val="28"/>
        </w:rPr>
        <w:t>承担全地区建筑工程质量安全监管的责任；</w:t>
      </w:r>
    </w:p>
    <w:p>
      <w:pPr>
        <w:numPr>
          <w:ilvl w:val="0"/>
          <w:numId w:val="2"/>
        </w:numPr>
        <w:ind w:firstLine="560"/>
        <w:rPr>
          <w:szCs w:val="28"/>
        </w:rPr>
      </w:pPr>
      <w:r>
        <w:rPr>
          <w:rFonts w:hint="eastAsia" w:ascii="仿宋_GB2312" w:hAnsi="仿宋_GB2312" w:cs="宋体"/>
          <w:color w:val="000000"/>
          <w:kern w:val="18"/>
          <w:szCs w:val="28"/>
        </w:rPr>
        <w:t>综合管理全地区城乡建设抗震减灾工作；</w:t>
      </w:r>
    </w:p>
    <w:p>
      <w:pPr>
        <w:numPr>
          <w:ilvl w:val="0"/>
          <w:numId w:val="2"/>
        </w:numPr>
        <w:ind w:firstLine="560"/>
        <w:rPr>
          <w:szCs w:val="28"/>
        </w:rPr>
      </w:pPr>
      <w:r>
        <w:rPr>
          <w:rFonts w:hint="eastAsia" w:ascii="仿宋_GB2312" w:hAnsi="仿宋_GB2312" w:cs="宋体"/>
          <w:color w:val="000000"/>
          <w:kern w:val="18"/>
          <w:szCs w:val="28"/>
        </w:rPr>
        <w:t>承担推荐全地区建筑节能、城镇减排的责任；</w:t>
      </w:r>
    </w:p>
    <w:p>
      <w:pPr>
        <w:numPr>
          <w:ilvl w:val="0"/>
          <w:numId w:val="2"/>
        </w:numPr>
        <w:ind w:firstLine="560"/>
        <w:rPr>
          <w:szCs w:val="28"/>
        </w:rPr>
      </w:pPr>
      <w:r>
        <w:rPr>
          <w:rFonts w:hint="eastAsia" w:ascii="仿宋_GB2312" w:hAnsi="仿宋_GB2312" w:cs="宋体"/>
          <w:color w:val="000000"/>
          <w:kern w:val="18"/>
          <w:szCs w:val="28"/>
        </w:rPr>
        <w:t>指导和管理全地区建设行业工作；</w:t>
      </w:r>
    </w:p>
    <w:p>
      <w:pPr>
        <w:numPr>
          <w:ilvl w:val="0"/>
          <w:numId w:val="2"/>
        </w:numPr>
        <w:ind w:firstLine="560"/>
        <w:rPr>
          <w:szCs w:val="28"/>
        </w:rPr>
      </w:pPr>
      <w:r>
        <w:rPr>
          <w:rFonts w:hint="eastAsia" w:ascii="仿宋_GB2312" w:hAnsi="仿宋_GB2312" w:cs="宋体"/>
          <w:color w:val="000000"/>
          <w:kern w:val="18"/>
          <w:szCs w:val="28"/>
        </w:rPr>
        <w:t>负责全地区住房公积金监督管理；</w:t>
      </w:r>
    </w:p>
    <w:p>
      <w:pPr>
        <w:numPr>
          <w:ilvl w:val="0"/>
          <w:numId w:val="2"/>
        </w:numPr>
        <w:ind w:firstLine="560"/>
        <w:rPr>
          <w:szCs w:val="28"/>
        </w:rPr>
      </w:pPr>
      <w:r>
        <w:rPr>
          <w:rFonts w:hint="eastAsia" w:ascii="仿宋_GB2312" w:hAnsi="仿宋_GB2312" w:cs="宋体"/>
          <w:color w:val="000000"/>
          <w:kern w:val="18"/>
          <w:szCs w:val="28"/>
        </w:rPr>
        <w:t>承办地委、行署及上级业务部门交办的其他工作。</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pStyle w:val="2"/>
        <w:ind w:firstLine="560"/>
        <w:rPr>
          <w:rFonts w:cs="仿宋_GB2312"/>
          <w:color w:val="FF0000"/>
        </w:rPr>
      </w:pPr>
      <w:r>
        <w:rPr>
          <w:rFonts w:hint="eastAsia" w:cs="仿宋_GB2312"/>
          <w:b w:val="0"/>
          <w:szCs w:val="28"/>
        </w:rPr>
        <w:t>改善的居住条件，大大提高生活质量水平，建房户满意度90%。</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安居房质量督查费项目</w:t>
      </w:r>
      <w:r>
        <w:t>预算安排总额为</w:t>
      </w:r>
      <w:r>
        <w:rPr>
          <w:rFonts w:hint="eastAsia"/>
        </w:rPr>
        <w:t>30</w:t>
      </w:r>
      <w:r>
        <w:t>万元，其中财政资金</w:t>
      </w:r>
      <w:r>
        <w:rPr>
          <w:rFonts w:hint="eastAsia"/>
        </w:rPr>
        <w:t>30</w:t>
      </w:r>
      <w:r>
        <w:t>万元，其他资金</w:t>
      </w:r>
      <w:r>
        <w:rPr>
          <w:rFonts w:hint="eastAsia"/>
        </w:rPr>
        <w:t>0</w:t>
      </w:r>
      <w:r>
        <w:t>万元，2019年实际收到预算资金</w:t>
      </w:r>
      <w:r>
        <w:rPr>
          <w:rFonts w:hint="eastAsia"/>
        </w:rPr>
        <w:t>12</w:t>
      </w:r>
      <w:r>
        <w:t>万元，预算资金到位率为</w:t>
      </w:r>
      <w:r>
        <w:rPr>
          <w:rFonts w:hint="eastAsia"/>
        </w:rPr>
        <w:t>40</w:t>
      </w:r>
      <w:r>
        <w:t>%。</w:t>
      </w:r>
    </w:p>
    <w:p>
      <w:pPr>
        <w:numPr>
          <w:ilvl w:val="0"/>
          <w:numId w:val="3"/>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本项目实际支付资金12万元，预算执行率40</w:t>
      </w:r>
      <w:r>
        <w:t>%</w:t>
      </w:r>
      <w:r>
        <w:rPr>
          <w:rFonts w:hint="eastAsia"/>
        </w:rPr>
        <w:t>，结余资金额度18万元。项目资金主要用于支付图文印刷费用6.6万元、图文设计费用3.9万元,其他费用1.50万元。</w:t>
      </w:r>
    </w:p>
    <w:p>
      <w:pPr>
        <w:pStyle w:val="4"/>
        <w:numPr>
          <w:ilvl w:val="0"/>
          <w:numId w:val="4"/>
        </w:numPr>
        <w:ind w:firstLine="643"/>
      </w:pPr>
      <w:r>
        <w:rPr>
          <w:rFonts w:hint="eastAsia"/>
        </w:rPr>
        <w:t>项目绩效目标</w:t>
      </w:r>
    </w:p>
    <w:p>
      <w:pPr>
        <w:pStyle w:val="2"/>
        <w:ind w:firstLine="562"/>
      </w:pPr>
      <w:r>
        <w:rPr>
          <w:rFonts w:hint="eastAsia"/>
        </w:rPr>
        <w:t>1.总体目标</w:t>
      </w:r>
    </w:p>
    <w:p>
      <w:pPr>
        <w:ind w:firstLine="560"/>
      </w:pPr>
      <w:r>
        <w:rPr>
          <w:rFonts w:hint="eastAsia"/>
        </w:rPr>
        <w:t>改善居住条件，大大提高生活质量水平，建房户满意度不少于90%。</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5"/>
        </w:numPr>
        <w:ind w:firstLine="560"/>
      </w:pPr>
      <w:r>
        <w:rPr>
          <w:rFonts w:hint="eastAsia"/>
        </w:rPr>
        <w:t>项目产出目标</w:t>
      </w:r>
    </w:p>
    <w:p>
      <w:pPr>
        <w:ind w:firstLine="560"/>
      </w:pPr>
      <w:r>
        <w:rPr>
          <w:rFonts w:hint="eastAsia"/>
        </w:rPr>
        <w:t>①数量指标</w:t>
      </w:r>
    </w:p>
    <w:p>
      <w:pPr>
        <w:ind w:firstLine="560"/>
      </w:pPr>
      <w:r>
        <w:rPr>
          <w:rFonts w:hint="eastAsia"/>
        </w:rPr>
        <w:t>“质量督查培训人数(人)”指标，预期指标值为≥214；</w:t>
      </w:r>
    </w:p>
    <w:p>
      <w:pPr>
        <w:ind w:firstLine="560"/>
      </w:pPr>
      <w:r>
        <w:rPr>
          <w:rFonts w:hint="eastAsia"/>
        </w:rPr>
        <w:t>“质量督查培训次数(次)”指标，预期指标值为≥94；</w:t>
      </w:r>
    </w:p>
    <w:p>
      <w:pPr>
        <w:ind w:firstLine="560"/>
      </w:pPr>
      <w:r>
        <w:rPr>
          <w:rFonts w:hint="eastAsia"/>
        </w:rPr>
        <w:t>“全年下乡检查安居房质量次数(次)”指标，预期指标值为≥6。</w:t>
      </w:r>
    </w:p>
    <w:p>
      <w:pPr>
        <w:ind w:firstLine="560"/>
      </w:pPr>
      <w:r>
        <w:rPr>
          <w:rFonts w:hint="eastAsia"/>
        </w:rPr>
        <w:t>②质量指标</w:t>
      </w:r>
    </w:p>
    <w:p>
      <w:pPr>
        <w:ind w:firstLine="560"/>
      </w:pPr>
      <w:r>
        <w:rPr>
          <w:rFonts w:hint="eastAsia"/>
        </w:rPr>
        <w:t>“监督检查覆盖率(%)”指标，预期指标值为≥95%；</w:t>
      </w:r>
    </w:p>
    <w:p>
      <w:pPr>
        <w:ind w:firstLine="560"/>
      </w:pPr>
      <w:r>
        <w:rPr>
          <w:rFonts w:hint="eastAsia"/>
        </w:rPr>
        <w:t>“督查问题整改率（%）”指标，预期指标值为≥95%；</w:t>
      </w:r>
    </w:p>
    <w:p>
      <w:pPr>
        <w:ind w:firstLine="560"/>
      </w:pPr>
      <w:r>
        <w:rPr>
          <w:rFonts w:hint="eastAsia"/>
        </w:rPr>
        <w:t>“安居房质量不合格率（%）”指标，预期指标值为≤5%。</w:t>
      </w:r>
    </w:p>
    <w:p>
      <w:pPr>
        <w:ind w:firstLine="560"/>
      </w:pPr>
      <w:r>
        <w:rPr>
          <w:rFonts w:hint="eastAsia"/>
        </w:rPr>
        <w:t>③时效指标</w:t>
      </w:r>
    </w:p>
    <w:p>
      <w:pPr>
        <w:ind w:firstLine="560"/>
      </w:pPr>
      <w:r>
        <w:rPr>
          <w:rFonts w:hint="eastAsia"/>
        </w:rPr>
        <w:t>“项目完成时限”指标，预期指标值为；2019年12月31日前。</w:t>
      </w:r>
    </w:p>
    <w:p>
      <w:pPr>
        <w:ind w:firstLine="560"/>
      </w:pPr>
      <w:r>
        <w:rPr>
          <w:rFonts w:hint="eastAsia"/>
        </w:rPr>
        <w:t>④成本指标</w:t>
      </w:r>
    </w:p>
    <w:p>
      <w:pPr>
        <w:ind w:firstLine="560"/>
      </w:pPr>
      <w:r>
        <w:rPr>
          <w:rFonts w:hint="eastAsia"/>
        </w:rPr>
        <w:t>“图文印刷费（万元）”指标，预期指标值为≤18；</w:t>
      </w:r>
    </w:p>
    <w:p>
      <w:pPr>
        <w:ind w:firstLine="560"/>
      </w:pPr>
      <w:r>
        <w:rPr>
          <w:rFonts w:hint="eastAsia"/>
        </w:rPr>
        <w:t>“图集设计费（万元）”指标，预期指标值为≤9；</w:t>
      </w:r>
    </w:p>
    <w:p>
      <w:pPr>
        <w:ind w:firstLine="560"/>
      </w:pPr>
      <w:r>
        <w:rPr>
          <w:rFonts w:hint="eastAsia"/>
        </w:rPr>
        <w:t>“办公费、差旅费等其他费用（万元））”指标，预期指标值为≤3。</w:t>
      </w:r>
    </w:p>
    <w:p>
      <w:pPr>
        <w:ind w:firstLine="560"/>
      </w:pPr>
      <w:r>
        <w:rPr>
          <w:rFonts w:hint="eastAsia"/>
        </w:rPr>
        <w:t>（2）项目效益目标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预期指标值为有效提高；</w:t>
      </w:r>
    </w:p>
    <w:p>
      <w:pPr>
        <w:ind w:firstLine="560"/>
      </w:pPr>
      <w:r>
        <w:rPr>
          <w:rFonts w:hint="eastAsia"/>
        </w:rPr>
        <w:t>③生态效益指标</w:t>
      </w:r>
    </w:p>
    <w:p>
      <w:pPr>
        <w:ind w:firstLine="560"/>
      </w:pPr>
      <w:r>
        <w:rPr>
          <w:rFonts w:hint="eastAsia"/>
        </w:rPr>
        <w:t>“改善居住条件”指标，预期指标值为有效改善；</w:t>
      </w:r>
    </w:p>
    <w:p>
      <w:pPr>
        <w:ind w:firstLine="560"/>
      </w:pPr>
      <w:r>
        <w:rPr>
          <w:rFonts w:hint="eastAsia"/>
        </w:rPr>
        <w:t>④可持续影响</w:t>
      </w:r>
    </w:p>
    <w:p>
      <w:pPr>
        <w:ind w:firstLine="560"/>
      </w:pPr>
      <w:r>
        <w:rPr>
          <w:rFonts w:hint="eastAsia"/>
        </w:rPr>
        <w:t>“安居房预计使用年限（年）”指标，预期指标值为≥30。</w:t>
      </w:r>
    </w:p>
    <w:p>
      <w:pPr>
        <w:ind w:firstLine="560"/>
      </w:pPr>
      <w:r>
        <w:rPr>
          <w:rFonts w:hint="eastAsia"/>
        </w:rPr>
        <w:t>④满意度指标</w:t>
      </w:r>
    </w:p>
    <w:p>
      <w:pPr>
        <w:ind w:firstLine="560"/>
      </w:pPr>
      <w:r>
        <w:rPr>
          <w:rFonts w:hint="eastAsia"/>
        </w:rPr>
        <w:t>“建房户满意度（%）”指标，预期指标值为≥90%。</w:t>
      </w:r>
    </w:p>
    <w:p>
      <w:pPr>
        <w:pStyle w:val="3"/>
        <w:ind w:firstLine="640"/>
      </w:pPr>
      <w:r>
        <w:rPr>
          <w:rFonts w:hint="eastAsia"/>
        </w:rPr>
        <w:t>二、绩效评价工作开展情况</w:t>
      </w:r>
    </w:p>
    <w:p>
      <w:pPr>
        <w:pStyle w:val="4"/>
        <w:numPr>
          <w:ilvl w:val="0"/>
          <w:numId w:val="6"/>
        </w:numPr>
        <w:ind w:firstLine="643"/>
        <w:rPr>
          <w:rFonts w:ascii="楷体" w:hAnsi="楷体" w:cs="楷体"/>
          <w:szCs w:val="32"/>
        </w:rPr>
      </w:pPr>
      <w:bookmarkStart w:id="0" w:name="_Toc12868"/>
      <w:bookmarkStart w:id="1" w:name="_Toc22169_WPSOffice_Level2"/>
      <w:bookmarkStart w:id="2" w:name="_Toc22922"/>
      <w:bookmarkStart w:id="3" w:name="_Toc5462343"/>
      <w:bookmarkStart w:id="4" w:name="_Toc26632"/>
      <w:bookmarkStart w:id="5" w:name="_Toc5258"/>
      <w:bookmarkStart w:id="6" w:name="_Toc21664"/>
      <w:bookmarkStart w:id="7" w:name="_Toc480473081"/>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w:t>
      </w:r>
      <w:r>
        <w:rPr>
          <w:rFonts w:hint="eastAsia"/>
          <w:lang w:eastAsia="zh-CN"/>
        </w:rPr>
        <w:t>相关规定</w:t>
      </w:r>
      <w:r>
        <w:rPr>
          <w:rFonts w:hint="eastAsia"/>
        </w:rPr>
        <w:t>文件要求</w:t>
      </w:r>
      <w:r>
        <w:rPr>
          <w:rFonts w:hint="eastAsia"/>
          <w:lang w:eastAsia="zh-CN"/>
        </w:rPr>
        <w:t>，</w:t>
      </w:r>
      <w:r>
        <w:rPr>
          <w:rFonts w:hint="eastAsia"/>
        </w:rPr>
        <w:t>对2019年度我单位实施的安居房质量督查费项目开展部门绩效评价，本次绩效评价主要围绕项目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6"/>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等要求，本次绩效评价秉承科学规范、公正公开、分级分类、绩效相关等原则，按照从投入、过程到产出效果和影响的绩效逻辑路径，结合</w:t>
      </w:r>
      <w:bookmarkStart w:id="14" w:name="_GoBack"/>
      <w:bookmarkEnd w:id="14"/>
      <w:r>
        <w:rPr>
          <w:rFonts w:hint="eastAsia"/>
        </w:rPr>
        <w:t>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26131"/>
      <w:bookmarkStart w:id="9" w:name="_Toc428278230"/>
      <w:bookmarkStart w:id="10" w:name="_Toc419984722"/>
      <w:bookmarkStart w:id="11" w:name="_Toc1913"/>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本次绩效评价采用的标准计划标准、行业标准，对绩效指标完成情况进行对比。</w:t>
      </w:r>
    </w:p>
    <w:p>
      <w:pPr>
        <w:pStyle w:val="4"/>
        <w:numPr>
          <w:ilvl w:val="0"/>
          <w:numId w:val="6"/>
        </w:numPr>
        <w:ind w:firstLine="643"/>
      </w:pPr>
      <w:r>
        <w:rPr>
          <w:rFonts w:hint="eastAsia"/>
        </w:rPr>
        <w:t>绩效评价工作过程</w:t>
      </w:r>
    </w:p>
    <w:p>
      <w:pPr>
        <w:ind w:left="560" w:leftChars="200" w:firstLine="560"/>
      </w:pPr>
      <w:r>
        <w:rPr>
          <w:rFonts w:hint="eastAsia"/>
        </w:rPr>
        <w:t>本次评价设计了评价方案、评价指标体系，通过资料分析、调研、访谈满意度调查等方式形成评价结论，确定评价意见，并出具评价报告。　</w:t>
      </w:r>
    </w:p>
    <w:p>
      <w:pPr>
        <w:pStyle w:val="3"/>
        <w:numPr>
          <w:ilvl w:val="0"/>
          <w:numId w:val="7"/>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安居房质量督查费项目</w:t>
      </w:r>
      <w:r>
        <w:rPr>
          <w:rFonts w:hint="eastAsia"/>
          <w:lang w:val="zh-TW" w:eastAsia="zh-TW"/>
        </w:rPr>
        <w:t>绩效进行客观评价，最终评分结果：总分为</w:t>
      </w:r>
      <w:r>
        <w:rPr>
          <w:rFonts w:hint="eastAsia"/>
        </w:rPr>
        <w:t>88.4</w:t>
      </w:r>
      <w:r>
        <w:rPr>
          <w:rFonts w:hint="eastAsia"/>
          <w:lang w:val="zh-TW" w:eastAsia="zh-TW"/>
        </w:rPr>
        <w:t>分，绩效评级为“</w:t>
      </w:r>
      <w:r>
        <w:rPr>
          <w:rFonts w:hint="eastAsia"/>
        </w:rPr>
        <w:t>良</w:t>
      </w:r>
      <w:r>
        <w:rPr>
          <w:rFonts w:hint="eastAsia"/>
          <w:lang w:val="zh-TW" w:eastAsia="zh-TW"/>
        </w:rPr>
        <w:t>”。各部分权重和绩效</w:t>
      </w:r>
      <w:r>
        <w:rPr>
          <w:rFonts w:hint="eastAsia"/>
        </w:rPr>
        <w:t>汇总</w:t>
      </w:r>
      <w:r>
        <w:rPr>
          <w:rFonts w:hint="eastAsia"/>
          <w:lang w:val="zh-TW" w:eastAsia="zh-TW"/>
        </w:rPr>
        <w:t>分值如下表所示：</w:t>
      </w:r>
    </w:p>
    <w:tbl>
      <w:tblPr>
        <w:tblStyle w:val="12"/>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表3-1：安居房质量督查费项目得分表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sz w:val="24"/>
              </w:rPr>
              <w:t>24.9</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28.5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88.4</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88.4%</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项目决策由3个二级指标和6个三级指标构成，权重分20分，实际得分18分，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rPr>
          <w:b/>
          <w:bCs/>
          <w:color w:val="000000"/>
          <w:u w:color="000000"/>
          <w:lang w:val="zh-TW" w:eastAsia="zh-TW"/>
        </w:rPr>
      </w:pP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2"/>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立项依据充分性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立项程序规范性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绩效目标合理性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绩效指标明确性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预算编制科学性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资金分配合理性</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17</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17</w:t>
            </w:r>
          </w:p>
        </w:tc>
      </w:tr>
    </w:tbl>
    <w:p>
      <w:pPr>
        <w:pStyle w:val="4"/>
        <w:ind w:left="560" w:leftChars="200" w:firstLine="0" w:firstLineChars="0"/>
      </w:pPr>
      <w:r>
        <w:rPr>
          <w:rFonts w:hint="eastAsia"/>
        </w:rPr>
        <w:t>（三）项目产出情况</w:t>
      </w:r>
    </w:p>
    <w:p>
      <w:pPr>
        <w:ind w:firstLine="560"/>
        <w:rPr>
          <w:rFonts w:hint="eastAsia"/>
          <w:color w:val="000000"/>
          <w:u w:color="000000"/>
          <w:lang w:val="zh-TW" w:eastAsia="zh-CN"/>
        </w:rPr>
      </w:pPr>
      <w:r>
        <w:rPr>
          <w:rFonts w:hint="eastAsia"/>
          <w:color w:val="000000"/>
          <w:u w:color="000000"/>
          <w:lang w:val="zh-TW" w:eastAsia="zh-TW"/>
        </w:rPr>
        <w:t>项目产出类指标由4个二级指标和10个三级指标构成，权重分30分，实际得分24.9分</w:t>
      </w:r>
      <w:r>
        <w:rPr>
          <w:rFonts w:hint="eastAsia"/>
          <w:color w:val="000000"/>
          <w:u w:color="000000"/>
          <w:lang w:val="zh-TW" w:eastAsia="zh-CN"/>
        </w:rPr>
        <w:t>。</w:t>
      </w:r>
    </w:p>
    <w:p>
      <w:pPr>
        <w:pStyle w:val="3"/>
        <w:ind w:firstLine="640"/>
      </w:pPr>
      <w:r>
        <w:rPr>
          <w:rFonts w:hint="eastAsia"/>
        </w:rPr>
        <w:t>五、主要经验及做法、存在的问题及原因分析</w:t>
      </w:r>
    </w:p>
    <w:p>
      <w:pPr>
        <w:pStyle w:val="4"/>
        <w:numPr>
          <w:ilvl w:val="0"/>
          <w:numId w:val="8"/>
        </w:numPr>
        <w:ind w:firstLine="643"/>
      </w:pPr>
      <w:bookmarkStart w:id="12" w:name="_Toc28290"/>
      <w:bookmarkStart w:id="13" w:name="_Toc1921"/>
      <w:r>
        <w:rPr>
          <w:rFonts w:hint="eastAsia"/>
        </w:rPr>
        <w:t>主要经验及做法</w:t>
      </w:r>
    </w:p>
    <w:p>
      <w:pPr>
        <w:ind w:firstLine="560"/>
      </w:pPr>
      <w:r>
        <w:rPr>
          <w:rFonts w:hint="eastAsia"/>
        </w:rPr>
        <w:t>年初设置好目标，中期跟踪监控，确保项目落地生根，按质按期完成。</w:t>
      </w:r>
    </w:p>
    <w:bookmarkEnd w:id="12"/>
    <w:bookmarkEnd w:id="13"/>
    <w:p>
      <w:pPr>
        <w:pStyle w:val="4"/>
        <w:numPr>
          <w:ilvl w:val="0"/>
          <w:numId w:val="8"/>
        </w:numPr>
        <w:ind w:firstLine="643"/>
      </w:pPr>
      <w:r>
        <w:rPr>
          <w:rFonts w:hint="eastAsia"/>
        </w:rPr>
        <w:t>存在的问题及原因分析</w:t>
      </w:r>
    </w:p>
    <w:p>
      <w:pPr>
        <w:ind w:firstLine="560"/>
        <w:rPr>
          <w:rFonts w:ascii="黑体" w:hAnsi="黑体"/>
        </w:rPr>
      </w:pPr>
      <w:r>
        <w:rPr>
          <w:rFonts w:hint="eastAsia"/>
        </w:rPr>
        <w:t>存在的问题，财务和项目脱节，核算工作不精准，造成项目评比不客观。</w:t>
      </w:r>
    </w:p>
    <w:p>
      <w:pPr>
        <w:pStyle w:val="3"/>
        <w:ind w:firstLine="640"/>
      </w:pPr>
      <w:r>
        <w:rPr>
          <w:rFonts w:hint="eastAsia"/>
        </w:rPr>
        <w:t>六、有关建议</w:t>
      </w:r>
    </w:p>
    <w:p>
      <w:pPr>
        <w:ind w:firstLine="544"/>
        <w:rPr>
          <w:spacing w:val="-4"/>
          <w:szCs w:val="32"/>
        </w:rPr>
      </w:pPr>
      <w:r>
        <w:rPr>
          <w:rFonts w:hint="eastAsia"/>
          <w:spacing w:val="-4"/>
          <w:szCs w:val="32"/>
        </w:rPr>
        <w:t>加强资金管理力度，严格按照年初设定的项目指标值核算成本，提高资金使用效率，提高项目预算精准度。</w:t>
      </w:r>
    </w:p>
    <w:p>
      <w:pPr>
        <w:pStyle w:val="3"/>
        <w:ind w:firstLine="640"/>
      </w:pPr>
      <w:r>
        <w:rPr>
          <w:rFonts w:hint="eastAsia"/>
        </w:rPr>
        <w:t>七、其他需要说明的问题</w:t>
      </w:r>
    </w:p>
    <w:p>
      <w:pPr>
        <w:ind w:firstLine="544"/>
        <w:rPr>
          <w:strike/>
          <w:spacing w:val="-4"/>
          <w:szCs w:val="32"/>
        </w:rPr>
      </w:pPr>
      <w:r>
        <w:rPr>
          <w:rFonts w:hint="eastAsia"/>
          <w:spacing w:val="-4"/>
          <w:szCs w:val="32"/>
        </w:rPr>
        <w:t>无其他说明内容。</w:t>
      </w:r>
    </w:p>
    <w:p>
      <w:pPr>
        <w:ind w:firstLine="560"/>
      </w:pPr>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45B5E94"/>
    <w:multiLevelType w:val="singleLevel"/>
    <w:tmpl w:val="145B5E94"/>
    <w:lvl w:ilvl="0" w:tentative="0">
      <w:start w:val="1"/>
      <w:numFmt w:val="decimal"/>
      <w:suff w:val="nothing"/>
      <w:lvlText w:val="（%1）"/>
      <w:lvlJc w:val="left"/>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181F43"/>
    <w:rsid w:val="002660D0"/>
    <w:rsid w:val="0075294E"/>
    <w:rsid w:val="009B5A6C"/>
    <w:rsid w:val="009B5CF5"/>
    <w:rsid w:val="00AD024F"/>
    <w:rsid w:val="00B31F19"/>
    <w:rsid w:val="00C120A4"/>
    <w:rsid w:val="00C55E79"/>
    <w:rsid w:val="02F2413E"/>
    <w:rsid w:val="0FF62C78"/>
    <w:rsid w:val="12F1313F"/>
    <w:rsid w:val="175F241D"/>
    <w:rsid w:val="245E1E24"/>
    <w:rsid w:val="2C103347"/>
    <w:rsid w:val="2E483E7E"/>
    <w:rsid w:val="332F7DDD"/>
    <w:rsid w:val="33944516"/>
    <w:rsid w:val="36185B49"/>
    <w:rsid w:val="3C904F53"/>
    <w:rsid w:val="42FE3854"/>
    <w:rsid w:val="477E3A00"/>
    <w:rsid w:val="49830D82"/>
    <w:rsid w:val="4F733A2D"/>
    <w:rsid w:val="5EEF38B5"/>
    <w:rsid w:val="60937F5E"/>
    <w:rsid w:val="61EA3381"/>
    <w:rsid w:val="6523684A"/>
    <w:rsid w:val="68291A1A"/>
    <w:rsid w:val="691B1594"/>
    <w:rsid w:val="6EA36622"/>
    <w:rsid w:val="6F0D6C22"/>
    <w:rsid w:val="76D2301A"/>
    <w:rsid w:val="77861774"/>
    <w:rsid w:val="79300B45"/>
    <w:rsid w:val="79A17504"/>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8"/>
    <w:qFormat/>
    <w:uiPriority w:val="0"/>
    <w:rPr>
      <w:b/>
      <w:bCs/>
    </w:rPr>
  </w:style>
  <w:style w:type="paragraph" w:styleId="6">
    <w:name w:val="annotation text"/>
    <w:basedOn w:val="1"/>
    <w:link w:val="17"/>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annotation reference"/>
    <w:basedOn w:val="10"/>
    <w:qFormat/>
    <w:uiPriority w:val="0"/>
    <w:rPr>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0"/>
    <w:link w:val="7"/>
    <w:qFormat/>
    <w:uiPriority w:val="0"/>
    <w:rPr>
      <w:rFonts w:eastAsia="仿宋_GB2312"/>
      <w:kern w:val="2"/>
      <w:sz w:val="18"/>
      <w:szCs w:val="18"/>
    </w:rPr>
  </w:style>
  <w:style w:type="character" w:customStyle="1" w:styleId="17">
    <w:name w:val="批注文字 Char"/>
    <w:basedOn w:val="10"/>
    <w:link w:val="6"/>
    <w:qFormat/>
    <w:uiPriority w:val="0"/>
    <w:rPr>
      <w:rFonts w:eastAsia="仿宋_GB2312"/>
      <w:kern w:val="2"/>
      <w:sz w:val="28"/>
      <w:szCs w:val="24"/>
    </w:rPr>
  </w:style>
  <w:style w:type="character" w:customStyle="1" w:styleId="18">
    <w:name w:val="批注主题 Char"/>
    <w:basedOn w:val="17"/>
    <w:link w:val="5"/>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89CEE3-CBEF-4A02-A06C-94F0B5DD5F86}">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1672</Words>
  <Characters>9532</Characters>
  <Lines>79</Lines>
  <Paragraphs>22</Paragraphs>
  <TotalTime>31</TotalTime>
  <ScaleCrop>false</ScaleCrop>
  <LinksUpToDate>false</LinksUpToDate>
  <CharactersWithSpaces>11182</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2020-10-29T08:32:33Z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