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和田地区其他科学技术管理事务支出项目支出绩效评价报告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hAnsi="黑体" w:eastAsia="黑体" w:cs="黑体"/>
          <w:b/>
          <w:bCs/>
          <w:sz w:val="32"/>
          <w:szCs w:val="32"/>
        </w:rPr>
      </w:pPr>
      <w:r>
        <w:rPr>
          <w:rFonts w:hint="eastAsia" w:ascii="黑体" w:eastAsia="黑体"/>
          <w:b/>
          <w:color w:val="000000"/>
          <w:sz w:val="30"/>
          <w:szCs w:val="30"/>
        </w:rPr>
        <w:t>项目名称：</w:t>
      </w:r>
      <w:r>
        <w:rPr>
          <w:rFonts w:hint="eastAsia" w:ascii="黑体" w:hAnsi="黑体" w:eastAsia="黑体" w:cs="黑体"/>
          <w:b/>
          <w:bCs/>
          <w:sz w:val="32"/>
          <w:szCs w:val="32"/>
        </w:rPr>
        <w:t>其他科学技术管理事务支出项目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实施单位：和田地区科技局</w:t>
      </w:r>
    </w:p>
    <w:p>
      <w:pPr>
        <w:spacing w:line="360" w:lineRule="auto"/>
        <w:ind w:firstLine="602"/>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pPr>
      <w:r>
        <w:rPr>
          <w:rFonts w:hint="eastAsia" w:ascii="黑体" w:eastAsia="黑体"/>
          <w:b/>
          <w:color w:val="000000"/>
          <w:sz w:val="30"/>
          <w:szCs w:val="30"/>
        </w:rPr>
        <w:t>主管部门：和田地区科技局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和田地区其他科学技术管理事务支出项目支出绩效评价报告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t>1.</w:t>
      </w:r>
      <w:r>
        <w:rPr>
          <w:rFonts w:hint="eastAsia"/>
        </w:rPr>
        <w:t>项目背景</w:t>
      </w:r>
    </w:p>
    <w:p>
      <w:pPr>
        <w:ind w:firstLine="560"/>
      </w:pPr>
      <w:r>
        <w:rPr>
          <w:rFonts w:hint="eastAsia"/>
        </w:rPr>
        <w:t>统筹推进地区创新体系建设和科技体制改革，会同有关部门健全技术创新激励机制。优化科研体系建设，指导科研机构改革发展，推动企业科技创新能力建设，承担推进科技军民融合发展相关工作，推进地区重大科技决策咨询制度建设。牵头建立地区科技管理平台和科研项目资金协调、评估、监管机制。</w:t>
      </w:r>
    </w:p>
    <w:p>
      <w:pPr>
        <w:pStyle w:val="2"/>
        <w:ind w:firstLine="562"/>
      </w:pPr>
      <w:r>
        <w:t>2.</w:t>
      </w:r>
      <w:r>
        <w:rPr>
          <w:rFonts w:hint="eastAsia"/>
        </w:rPr>
        <w:t>项目实施主体</w:t>
      </w:r>
    </w:p>
    <w:p>
      <w:pPr>
        <w:ind w:firstLine="560"/>
      </w:pPr>
      <w:r>
        <w:rPr>
          <w:rFonts w:hint="eastAsia"/>
        </w:rPr>
        <w:t>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地区科技管理平台，减少科技计划项目重复、分散、低效和资源配置“碎片化”的现象。</w:t>
      </w:r>
    </w:p>
    <w:p>
      <w:pPr>
        <w:pStyle w:val="2"/>
        <w:adjustRightInd w:val="0"/>
        <w:snapToGrid w:val="0"/>
        <w:ind w:firstLine="562"/>
      </w:pPr>
      <w:r>
        <w:t>3.</w:t>
      </w:r>
      <w:r>
        <w:rPr>
          <w:rFonts w:hint="eastAsia"/>
        </w:rPr>
        <w:t>机构设置</w:t>
      </w:r>
    </w:p>
    <w:p>
      <w:pPr>
        <w:ind w:firstLine="560"/>
      </w:pPr>
      <w:r>
        <w:rPr>
          <w:rFonts w:hint="eastAsia"/>
        </w:rPr>
        <w:t>地区科技局无下属预算单位，下设</w:t>
      </w:r>
      <w:r>
        <w:t>3</w:t>
      </w:r>
      <w:r>
        <w:rPr>
          <w:rFonts w:hint="eastAsia"/>
        </w:rPr>
        <w:t>个科室，分别是：办公室、业务科、发展规划与专家服务科。</w:t>
      </w:r>
    </w:p>
    <w:p>
      <w:pPr>
        <w:pStyle w:val="2"/>
        <w:ind w:firstLine="562"/>
      </w:pPr>
      <w:r>
        <w:t>4.</w:t>
      </w:r>
      <w:r>
        <w:rPr>
          <w:rFonts w:hint="eastAsia"/>
        </w:rPr>
        <w:t>项目组织结构</w:t>
      </w:r>
    </w:p>
    <w:p>
      <w:pPr>
        <w:ind w:firstLine="560"/>
      </w:pPr>
      <w:r>
        <w:rPr>
          <w:rFonts w:hint="eastAsia"/>
        </w:rPr>
        <w:t>为确保我单位该项目的顺利实施，我单位成立项目实施小组。</w:t>
      </w:r>
    </w:p>
    <w:p>
      <w:pPr>
        <w:pStyle w:val="2"/>
        <w:ind w:firstLine="562"/>
      </w:pPr>
      <w:r>
        <w:t>5.</w:t>
      </w:r>
      <w:r>
        <w:rPr>
          <w:rFonts w:hint="eastAsia"/>
        </w:rPr>
        <w:t>主要内容及实施情况</w:t>
      </w:r>
    </w:p>
    <w:p>
      <w:pPr>
        <w:ind w:firstLine="560"/>
      </w:pPr>
      <w:r>
        <w:rPr>
          <w:rFonts w:hint="eastAsia"/>
        </w:rPr>
        <w:t>及时下发《关于征集</w:t>
      </w:r>
      <w:r>
        <w:t>2019</w:t>
      </w:r>
      <w:r>
        <w:rPr>
          <w:rFonts w:hint="eastAsia"/>
        </w:rPr>
        <w:t>年度地区本级科学技术研究与开发计划项目的通知》，面向地直部门公开征集地区本级项目</w:t>
      </w:r>
      <w:r>
        <w:t>27</w:t>
      </w:r>
      <w:r>
        <w:rPr>
          <w:rFonts w:hint="eastAsia"/>
        </w:rPr>
        <w:t>个，择优立项</w:t>
      </w:r>
      <w:r>
        <w:t>10</w:t>
      </w:r>
      <w:r>
        <w:rPr>
          <w:rFonts w:hint="eastAsia"/>
        </w:rPr>
        <w:t>项，其中：农业类项目</w:t>
      </w:r>
      <w:r>
        <w:t>3</w:t>
      </w:r>
      <w:r>
        <w:rPr>
          <w:rFonts w:hint="eastAsia"/>
        </w:rPr>
        <w:t>项、社会服务类项目</w:t>
      </w:r>
      <w:r>
        <w:t>1</w:t>
      </w:r>
      <w:r>
        <w:rPr>
          <w:rFonts w:hint="eastAsia"/>
        </w:rPr>
        <w:t>项、医疗卫生类项目</w:t>
      </w:r>
      <w:r>
        <w:t>6</w:t>
      </w:r>
      <w:r>
        <w:rPr>
          <w:rFonts w:hint="eastAsia"/>
        </w:rPr>
        <w:t>项，科研经费总投入</w:t>
      </w:r>
      <w:r>
        <w:t>118</w:t>
      </w:r>
      <w:r>
        <w:rPr>
          <w:rFonts w:hint="eastAsia"/>
        </w:rPr>
        <w:t>万元。</w:t>
      </w:r>
    </w:p>
    <w:p>
      <w:pPr>
        <w:pStyle w:val="2"/>
        <w:ind w:firstLine="562"/>
      </w:pPr>
      <w:r>
        <w:t>6.</w:t>
      </w:r>
      <w:r>
        <w:rPr>
          <w:rFonts w:hint="eastAsia"/>
        </w:rPr>
        <w:t>资金投入和使用情况</w:t>
      </w:r>
    </w:p>
    <w:p>
      <w:pPr>
        <w:ind w:firstLine="560"/>
      </w:pPr>
      <w:r>
        <w:rPr>
          <w:rFonts w:hint="eastAsia"/>
        </w:rPr>
        <w:t>（</w:t>
      </w:r>
      <w:r>
        <w:t>1</w:t>
      </w:r>
      <w:r>
        <w:rPr>
          <w:rFonts w:hint="eastAsia"/>
        </w:rPr>
        <w:t>）项目资金安排落实、总投入等情况分析</w:t>
      </w:r>
    </w:p>
    <w:p>
      <w:pPr>
        <w:ind w:firstLine="560"/>
      </w:pPr>
      <w:r>
        <w:rPr>
          <w:rFonts w:hint="eastAsia"/>
        </w:rPr>
        <w:t>和田地区本级科技三项经费项目预算安排总额为</w:t>
      </w:r>
      <w:r>
        <w:t>80</w:t>
      </w:r>
      <w:r>
        <w:rPr>
          <w:rFonts w:hint="eastAsia"/>
        </w:rPr>
        <w:t>万元，其中财政资金</w:t>
      </w:r>
      <w:r>
        <w:t>80</w:t>
      </w:r>
      <w:r>
        <w:rPr>
          <w:rFonts w:hint="eastAsia"/>
        </w:rPr>
        <w:t>万元，其他资金</w:t>
      </w:r>
      <w:r>
        <w:t>0</w:t>
      </w:r>
      <w:r>
        <w:rPr>
          <w:rFonts w:hint="eastAsia"/>
        </w:rPr>
        <w:t>万元，</w:t>
      </w:r>
      <w:r>
        <w:t>2019</w:t>
      </w:r>
      <w:r>
        <w:rPr>
          <w:rFonts w:hint="eastAsia"/>
        </w:rPr>
        <w:t>年实际收到预算资金</w:t>
      </w:r>
      <w:r>
        <w:t>80</w:t>
      </w:r>
      <w:r>
        <w:rPr>
          <w:rFonts w:hint="eastAsia"/>
        </w:rPr>
        <w:t>万元，预算资金到位率为</w:t>
      </w:r>
      <w:r>
        <w:t>100%</w:t>
      </w:r>
      <w:r>
        <w:rPr>
          <w:rFonts w:hint="eastAsia"/>
        </w:rP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w:t>
      </w:r>
      <w:r>
        <w:t>80</w:t>
      </w:r>
      <w:r>
        <w:rPr>
          <w:rFonts w:hint="eastAsia"/>
        </w:rPr>
        <w:t>万元，预算执行率</w:t>
      </w:r>
      <w:r>
        <w:t>100%</w:t>
      </w:r>
      <w:r>
        <w:rPr>
          <w:rFonts w:hint="eastAsia"/>
        </w:rPr>
        <w:t>。项目资金主要用于科技项目</w:t>
      </w:r>
      <w:r>
        <w:t>80</w:t>
      </w:r>
      <w:r>
        <w:rPr>
          <w:rFonts w:hint="eastAsia"/>
        </w:rPr>
        <w:t>万元。</w:t>
      </w:r>
    </w:p>
    <w:p>
      <w:pPr>
        <w:pStyle w:val="4"/>
        <w:numPr>
          <w:ilvl w:val="0"/>
          <w:numId w:val="3"/>
        </w:numPr>
        <w:ind w:firstLine="643"/>
      </w:pPr>
      <w:r>
        <w:rPr>
          <w:rFonts w:hint="eastAsia"/>
        </w:rPr>
        <w:t>项目绩效目标</w:t>
      </w:r>
    </w:p>
    <w:p>
      <w:pPr>
        <w:pStyle w:val="2"/>
        <w:ind w:firstLine="562"/>
      </w:pPr>
      <w:r>
        <w:t>1.</w:t>
      </w:r>
      <w:r>
        <w:rPr>
          <w:rFonts w:hint="eastAsia"/>
        </w:rPr>
        <w:t>总体目标</w:t>
      </w:r>
    </w:p>
    <w:p>
      <w:pPr>
        <w:tabs>
          <w:tab w:val="left" w:pos="360"/>
        </w:tabs>
        <w:overflowPunct w:val="0"/>
        <w:spacing w:line="520" w:lineRule="exact"/>
        <w:ind w:firstLine="560"/>
      </w:pPr>
      <w:r>
        <w:rPr>
          <w:rFonts w:hint="eastAsia"/>
        </w:rPr>
        <w:t>拉动本地区特色优势产业快速发展的科技攻关项目。对特色林果业、畜禽养殖业、设施农业发展具有示范带动作用的科技项目。软科学科研课题优先支持对我地区经济社会和科技发展重大决策可提供选择依据或方案的科技战略研究项目。</w:t>
      </w:r>
    </w:p>
    <w:p>
      <w:pPr>
        <w:tabs>
          <w:tab w:val="left" w:pos="360"/>
        </w:tabs>
        <w:overflowPunct w:val="0"/>
        <w:spacing w:line="520" w:lineRule="exact"/>
        <w:ind w:firstLine="562"/>
        <w:rPr>
          <w:b/>
          <w:bCs/>
        </w:rPr>
      </w:pPr>
      <w:r>
        <w:rPr>
          <w:b/>
          <w:bCs/>
        </w:rPr>
        <w:t>2.</w:t>
      </w:r>
      <w:r>
        <w:rPr>
          <w:rFonts w:hint="eastAsia"/>
          <w:b/>
          <w:bCs/>
        </w:rPr>
        <w:t>阶段性目标</w:t>
      </w:r>
    </w:p>
    <w:p>
      <w:pPr>
        <w:numPr>
          <w:ilvl w:val="0"/>
          <w:numId w:val="4"/>
        </w:numPr>
        <w:ind w:firstLine="560"/>
        <w:rPr>
          <w:rFonts w:hAnsi="Arial" w:cs="宋体"/>
          <w:bCs/>
          <w:color w:val="000000"/>
        </w:rPr>
      </w:pPr>
      <w:r>
        <w:rPr>
          <w:rFonts w:hint="eastAsia" w:hAnsi="Arial" w:cs="宋体"/>
          <w:bCs/>
          <w:color w:val="000000"/>
        </w:rPr>
        <w:t>拉动本地区特色优势产业快速发展的科技攻关项目。对特色林果业、畜禽养殖业、设施农业发展具有示范带动作用的科技项目。软科学科研课题优先支持对我地区经济社会和科技发展重大决策可提供选择依据或方案的科技战略研究项目。</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“评选项目个数（个）”指标，预期指标值为≥</w:t>
      </w:r>
      <w:r>
        <w:t>10</w:t>
      </w:r>
      <w:r>
        <w:rPr>
          <w:rFonts w:hint="eastAsia"/>
        </w:rPr>
        <w:t>；</w:t>
      </w:r>
    </w:p>
    <w:p>
      <w:pPr>
        <w:ind w:firstLine="0" w:firstLineChars="0"/>
      </w:pPr>
      <w:r>
        <w:t xml:space="preserve">   </w:t>
      </w:r>
      <w:r>
        <w:rPr>
          <w:rFonts w:hint="eastAsia"/>
        </w:rPr>
        <w:t>②质量指标</w:t>
      </w:r>
    </w:p>
    <w:p>
      <w:pPr>
        <w:ind w:firstLine="560"/>
      </w:pPr>
      <w:r>
        <w:rPr>
          <w:rFonts w:hint="eastAsia"/>
        </w:rPr>
        <w:t>“项目实施科技含量（</w:t>
      </w:r>
      <w:r>
        <w:t>%</w:t>
      </w:r>
      <w:r>
        <w:rPr>
          <w:rFonts w:hint="eastAsia"/>
        </w:rPr>
        <w:t>）”指标，预期指标值为≥</w:t>
      </w:r>
      <w:r>
        <w:t>90%</w:t>
      </w:r>
      <w:r>
        <w:rPr>
          <w:rFonts w:hint="eastAsia"/>
        </w:rPr>
        <w:t>；</w:t>
      </w:r>
    </w:p>
    <w:p>
      <w:pPr>
        <w:ind w:firstLine="560"/>
      </w:pPr>
      <w:r>
        <w:rPr>
          <w:rFonts w:hint="eastAsia"/>
        </w:rPr>
        <w:t>“项目验收通过率（</w:t>
      </w:r>
      <w:r>
        <w:t>%</w:t>
      </w:r>
      <w:r>
        <w:rPr>
          <w:rFonts w:hint="eastAsia"/>
        </w:rPr>
        <w:t>）”指标，预期指标值为≥</w:t>
      </w:r>
      <w:r>
        <w:t>90%</w:t>
      </w:r>
      <w:r>
        <w:rPr>
          <w:rFonts w:hint="eastAsia"/>
        </w:rPr>
        <w:t>；</w:t>
      </w:r>
    </w:p>
    <w:p>
      <w:pPr>
        <w:ind w:firstLine="560"/>
      </w:pPr>
      <w:r>
        <w:rPr>
          <w:rFonts w:hint="eastAsia"/>
        </w:rPr>
        <w:t>③时效指标</w:t>
      </w:r>
    </w:p>
    <w:p>
      <w:pPr>
        <w:ind w:firstLine="560"/>
      </w:pPr>
      <w:r>
        <w:rPr>
          <w:rFonts w:hint="eastAsia"/>
        </w:rPr>
        <w:t>“预期完成时间”指标，预期指标值为</w:t>
      </w:r>
      <w:r>
        <w:t>2019</w:t>
      </w:r>
      <w:r>
        <w:rPr>
          <w:rFonts w:hint="eastAsia"/>
        </w:rPr>
        <w:t>年</w:t>
      </w:r>
      <w:r>
        <w:t>12</w:t>
      </w:r>
      <w:r>
        <w:rPr>
          <w:rFonts w:hint="eastAsia"/>
        </w:rPr>
        <w:t>月</w:t>
      </w:r>
      <w:r>
        <w:t>31</w:t>
      </w:r>
      <w:r>
        <w:rPr>
          <w:rFonts w:hint="eastAsia"/>
        </w:rPr>
        <w:t>日；</w:t>
      </w:r>
    </w:p>
    <w:p>
      <w:pPr>
        <w:ind w:firstLine="560"/>
      </w:pPr>
      <w:r>
        <w:rPr>
          <w:rFonts w:hint="eastAsia"/>
        </w:rPr>
        <w:t>“资金支付及时率（</w:t>
      </w:r>
      <w:r>
        <w:t>%</w:t>
      </w:r>
      <w:r>
        <w:rPr>
          <w:rFonts w:hint="eastAsia"/>
        </w:rPr>
        <w:t>）”指标，预期指标值为</w:t>
      </w:r>
      <w:r>
        <w:t>100%</w:t>
      </w:r>
      <w:r>
        <w:rPr>
          <w:rFonts w:hint="eastAsia"/>
        </w:rPr>
        <w:t>；</w:t>
      </w:r>
    </w:p>
    <w:p>
      <w:pPr>
        <w:ind w:firstLine="560"/>
      </w:pPr>
      <w:r>
        <w:rPr>
          <w:rFonts w:hint="eastAsia"/>
        </w:rPr>
        <w:t>④成本指标</w:t>
      </w:r>
    </w:p>
    <w:p>
      <w:pPr>
        <w:ind w:firstLine="560"/>
      </w:pPr>
      <w:r>
        <w:rPr>
          <w:rFonts w:hint="eastAsia"/>
        </w:rPr>
        <w:t>“项目补助所需费用（万元）”指标，预期指标值为≤</w:t>
      </w:r>
      <w:r>
        <w:t>80</w:t>
      </w:r>
      <w:r>
        <w:rPr>
          <w:rFonts w:hint="eastAsia"/>
        </w:rPr>
        <w:t>；</w:t>
      </w:r>
    </w:p>
    <w:p>
      <w:pPr>
        <w:ind w:firstLine="560"/>
      </w:pPr>
      <w:r>
        <w:rPr>
          <w:rFonts w:hint="eastAsia"/>
        </w:rPr>
        <w:t>“每个项目补助金额（万元）”指标，预期指标值为≥</w:t>
      </w:r>
      <w:r>
        <w:t>5</w:t>
      </w:r>
      <w:r>
        <w:rPr>
          <w:rFonts w:hint="eastAsia"/>
        </w:rPr>
        <w:t>；</w:t>
      </w:r>
    </w:p>
    <w:p>
      <w:pPr>
        <w:ind w:firstLine="560"/>
        <w:rPr>
          <w:rFonts w:hAnsi="Arial" w:cs="宋体"/>
          <w:bCs/>
          <w:color w:val="000000"/>
        </w:rPr>
      </w:pPr>
      <w:r>
        <w:t xml:space="preserve"> </w:t>
      </w:r>
      <w:r>
        <w:rPr>
          <w:rFonts w:hint="eastAsia" w:hAnsi="Arial" w:cs="宋体"/>
          <w:bCs/>
          <w:color w:val="000000"/>
        </w:rPr>
        <w:t>（</w:t>
      </w:r>
      <w:r>
        <w:rPr>
          <w:rFonts w:hAnsi="Arial" w:cs="宋体"/>
          <w:bCs/>
          <w:color w:val="000000"/>
        </w:rPr>
        <w:t>2</w:t>
      </w:r>
      <w:r>
        <w:rPr>
          <w:rFonts w:hint="eastAsia" w:hAnsi="Arial" w:cs="宋体"/>
          <w:bCs/>
          <w:color w:val="000000"/>
        </w:rPr>
        <w:t>）项目效益目标</w:t>
      </w:r>
    </w:p>
    <w:p>
      <w:pPr>
        <w:ind w:firstLine="560"/>
        <w:rPr>
          <w:rFonts w:hAnsi="Arial" w:cs="宋体"/>
          <w:bCs/>
          <w:color w:val="000000"/>
        </w:rPr>
      </w:pPr>
      <w:r>
        <w:rPr>
          <w:rFonts w:hint="eastAsia" w:hAnsi="Arial" w:cs="宋体"/>
          <w:bCs/>
          <w:color w:val="000000"/>
        </w:rPr>
        <w:t>①经济效益指标</w:t>
      </w:r>
    </w:p>
    <w:p>
      <w:pPr>
        <w:ind w:firstLine="560"/>
        <w:rPr>
          <w:rFonts w:hAnsi="Arial" w:cs="宋体"/>
          <w:bCs/>
          <w:color w:val="000000"/>
        </w:rPr>
      </w:pPr>
      <w:r>
        <w:rPr>
          <w:rFonts w:hint="eastAsia" w:hAnsi="Arial" w:cs="宋体"/>
          <w:bCs/>
          <w:color w:val="000000"/>
        </w:rPr>
        <w:t>“有效解决农业发展中农民增收目标（</w:t>
      </w:r>
      <w:r>
        <w:rPr>
          <w:rFonts w:hAnsi="Arial" w:cs="宋体"/>
          <w:bCs/>
          <w:color w:val="000000"/>
        </w:rPr>
        <w:t>%</w:t>
      </w:r>
      <w:r>
        <w:rPr>
          <w:rFonts w:hint="eastAsia" w:hAnsi="Arial" w:cs="宋体"/>
          <w:bCs/>
          <w:color w:val="000000"/>
        </w:rPr>
        <w:t>）”指标，预期指标值为≥</w:t>
      </w:r>
      <w:r>
        <w:rPr>
          <w:rFonts w:hAnsi="Arial" w:cs="宋体"/>
          <w:bCs/>
          <w:color w:val="000000"/>
        </w:rPr>
        <w:t>20%</w:t>
      </w:r>
      <w:r>
        <w:rPr>
          <w:rFonts w:hint="eastAsia" w:hAnsi="Arial" w:cs="宋体"/>
          <w:bCs/>
          <w:color w:val="000000"/>
        </w:rPr>
        <w:t>；</w:t>
      </w:r>
    </w:p>
    <w:p>
      <w:pPr>
        <w:ind w:firstLine="560"/>
        <w:rPr>
          <w:rFonts w:hAnsi="Arial" w:cs="宋体"/>
          <w:bCs/>
          <w:color w:val="000000"/>
        </w:rPr>
      </w:pPr>
      <w:r>
        <w:rPr>
          <w:rFonts w:hint="eastAsia" w:hAnsi="Arial" w:cs="宋体"/>
          <w:bCs/>
          <w:color w:val="000000"/>
        </w:rPr>
        <w:t>②社会效益指标</w:t>
      </w:r>
    </w:p>
    <w:p>
      <w:pPr>
        <w:ind w:firstLine="560"/>
        <w:rPr>
          <w:rFonts w:hint="eastAsia" w:hAnsi="Arial" w:cs="宋体"/>
          <w:bCs/>
          <w:color w:val="000000"/>
        </w:rPr>
      </w:pPr>
      <w:r>
        <w:rPr>
          <w:rFonts w:hint="eastAsia" w:hAnsi="Arial" w:cs="宋体"/>
          <w:bCs/>
          <w:color w:val="000000"/>
        </w:rPr>
        <w:t>“努力提升全地区科技创新和成果转化能力（</w:t>
      </w:r>
      <w:r>
        <w:rPr>
          <w:rFonts w:hAnsi="Arial" w:cs="宋体"/>
          <w:bCs/>
          <w:color w:val="000000"/>
        </w:rPr>
        <w:t>%</w:t>
      </w:r>
      <w:r>
        <w:rPr>
          <w:rFonts w:hint="eastAsia" w:hAnsi="Arial" w:cs="宋体"/>
          <w:bCs/>
          <w:color w:val="000000"/>
        </w:rPr>
        <w:t>）”指标，预期指标值为≥</w:t>
      </w:r>
      <w:r>
        <w:rPr>
          <w:rFonts w:hAnsi="Arial" w:cs="宋体"/>
          <w:bCs/>
          <w:color w:val="000000"/>
        </w:rPr>
        <w:t>85%</w:t>
      </w:r>
      <w:r>
        <w:rPr>
          <w:rFonts w:hint="eastAsia" w:hAnsi="Arial" w:cs="宋体"/>
          <w:bCs/>
          <w:color w:val="000000"/>
        </w:rPr>
        <w:t>；</w:t>
      </w:r>
    </w:p>
    <w:p>
      <w:pPr>
        <w:ind w:firstLine="560"/>
        <w:rPr>
          <w:rFonts w:hint="eastAsia" w:hAnsi="Arial" w:cs="宋体"/>
          <w:bCs/>
          <w:color w:val="000000"/>
        </w:rPr>
      </w:pPr>
      <w:r>
        <w:rPr>
          <w:rFonts w:hint="eastAsia" w:hAnsi="Arial" w:cs="宋体"/>
          <w:bCs/>
          <w:color w:val="000000"/>
        </w:rPr>
        <w:t>③生态效益指标</w:t>
      </w:r>
    </w:p>
    <w:p>
      <w:pPr>
        <w:ind w:firstLine="560"/>
      </w:pPr>
      <w:r>
        <w:t>无</w:t>
      </w:r>
    </w:p>
    <w:p>
      <w:pPr>
        <w:ind w:firstLine="560"/>
      </w:pPr>
      <w:r>
        <w:rPr>
          <w:rFonts w:hint="eastAsia" w:ascii="Calibri" w:hAnsi="Calibri" w:cs="宋体"/>
          <w:bCs/>
          <w:color w:val="000000"/>
        </w:rPr>
        <w:t>④</w:t>
      </w:r>
      <w:r>
        <w:rPr>
          <w:rFonts w:hint="eastAsia"/>
        </w:rPr>
        <w:t>可持续影响指标</w:t>
      </w:r>
    </w:p>
    <w:p>
      <w:pPr>
        <w:ind w:firstLine="560"/>
      </w:pPr>
      <w:r>
        <w:rPr>
          <w:rFonts w:hint="eastAsia"/>
        </w:rPr>
        <w:t>“有效解决现代农业发展的技术问题（</w:t>
      </w:r>
      <w:r>
        <w:t>%</w:t>
      </w:r>
      <w:r>
        <w:rPr>
          <w:rFonts w:hint="eastAsia"/>
        </w:rPr>
        <w:t>）”指标，预期指标值为≥</w:t>
      </w:r>
      <w:r>
        <w:t>85%</w:t>
      </w:r>
      <w:r>
        <w:rPr>
          <w:rFonts w:hint="eastAsia"/>
        </w:rPr>
        <w:t>；</w:t>
      </w:r>
    </w:p>
    <w:p>
      <w:pPr>
        <w:ind w:firstLine="560"/>
      </w:pPr>
      <w:r>
        <w:rPr>
          <w:rFonts w:hint="eastAsia"/>
        </w:rPr>
        <w:t>（</w:t>
      </w:r>
      <w:r>
        <w:t>3</w:t>
      </w:r>
      <w:r>
        <w:rPr>
          <w:rFonts w:hint="eastAsia"/>
        </w:rPr>
        <w:t>）相关满意度目标</w:t>
      </w:r>
    </w:p>
    <w:p>
      <w:pPr>
        <w:ind w:firstLine="560"/>
      </w:pPr>
      <w:r>
        <w:rPr>
          <w:rFonts w:hint="eastAsia"/>
        </w:rPr>
        <w:t>“项目实施单位满意度（</w:t>
      </w:r>
      <w:r>
        <w:t>%</w:t>
      </w:r>
      <w:r>
        <w:rPr>
          <w:rFonts w:hint="eastAsia"/>
        </w:rPr>
        <w:t>）”指标，预期指标值为</w:t>
      </w:r>
      <w:r>
        <w:rPr>
          <w:rFonts w:hint="eastAsia" w:hAnsi="Arial" w:cs="宋体"/>
          <w:bCs/>
          <w:color w:val="000000"/>
        </w:rPr>
        <w:t>≥</w:t>
      </w:r>
      <w:r>
        <w:rPr>
          <w:rFonts w:hAnsi="Arial" w:cs="宋体"/>
          <w:bCs/>
          <w:color w:val="000000"/>
        </w:rPr>
        <w:t>95%</w:t>
      </w:r>
      <w:r>
        <w:rPr>
          <w:rFonts w:hint="eastAsia" w:hAnsi="Arial" w:cs="宋体"/>
          <w:bCs/>
          <w:color w:val="000000"/>
        </w:rPr>
        <w:t>。</w:t>
      </w:r>
    </w:p>
    <w:p>
      <w:pPr>
        <w:pStyle w:val="3"/>
        <w:ind w:firstLine="640"/>
      </w:pPr>
      <w:r>
        <w:rPr>
          <w:rFonts w:hint="eastAsia"/>
        </w:rPr>
        <w:t>二、绩效评价工作开展情况</w:t>
      </w:r>
    </w:p>
    <w:p>
      <w:pPr>
        <w:pStyle w:val="4"/>
        <w:numPr>
          <w:ilvl w:val="0"/>
          <w:numId w:val="5"/>
        </w:numPr>
        <w:ind w:firstLine="643"/>
        <w:rPr>
          <w:rFonts w:ascii="楷体" w:cs="楷体"/>
          <w:szCs w:val="32"/>
        </w:rPr>
      </w:pPr>
      <w:bookmarkStart w:id="0" w:name="_Toc22169_WPSOffice_Level2"/>
      <w:bookmarkStart w:id="1" w:name="_Toc26632"/>
      <w:bookmarkStart w:id="2" w:name="_Toc5258"/>
      <w:bookmarkStart w:id="3" w:name="_Toc12868"/>
      <w:bookmarkStart w:id="4" w:name="_Toc22922"/>
      <w:bookmarkStart w:id="5" w:name="_Toc480473081"/>
      <w:bookmarkStart w:id="6" w:name="_Toc5462343"/>
      <w:bookmarkStart w:id="7" w:name="_Toc21664"/>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t>2.</w:t>
      </w:r>
      <w:r>
        <w:rPr>
          <w:rFonts w:hint="eastAsia"/>
        </w:rPr>
        <w:t>绩效评价的对象和范围</w:t>
      </w:r>
    </w:p>
    <w:p>
      <w:pPr>
        <w:ind w:firstLine="560"/>
      </w:pPr>
      <w:r>
        <w:rPr>
          <w:rFonts w:hint="eastAsia"/>
        </w:rPr>
        <w:t>此次我单位根据《财政支出绩效评价管理暂行办法》（财预〔</w:t>
      </w:r>
      <w:r>
        <w:t>2020</w:t>
      </w:r>
      <w:r>
        <w:rPr>
          <w:rFonts w:hint="eastAsia"/>
        </w:rPr>
        <w:t>〕</w:t>
      </w:r>
      <w:r>
        <w:t>10</w:t>
      </w:r>
      <w:r>
        <w:rPr>
          <w:rFonts w:hint="eastAsia"/>
        </w:rPr>
        <w:t>号）文件要求对</w:t>
      </w:r>
      <w:r>
        <w:t>2019</w:t>
      </w:r>
      <w:r>
        <w:rPr>
          <w:rFonts w:hint="eastAsia"/>
        </w:rPr>
        <w:t>年度我单位实施的和田地区本级科技三项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pStyle w:val="4"/>
        <w:numPr>
          <w:ilvl w:val="0"/>
          <w:numId w:val="5"/>
        </w:numPr>
        <w:ind w:firstLine="643"/>
      </w:pPr>
      <w:r>
        <w:rPr>
          <w:rFonts w:hint="eastAsia"/>
        </w:rPr>
        <w:t>评价工作简述</w:t>
      </w:r>
    </w:p>
    <w:p>
      <w:pPr>
        <w:pStyle w:val="2"/>
        <w:ind w:firstLine="562"/>
      </w:pPr>
      <w:r>
        <w:t>1.</w:t>
      </w:r>
      <w:r>
        <w:rPr>
          <w:rFonts w:hint="eastAsia"/>
        </w:rPr>
        <w:t>绩效评价原则</w:t>
      </w:r>
    </w:p>
    <w:p>
      <w:pPr>
        <w:spacing w:line="600" w:lineRule="exact"/>
        <w:ind w:firstLine="560"/>
      </w:pPr>
      <w:r>
        <w:rPr>
          <w:rFonts w:hint="eastAsia"/>
        </w:rPr>
        <w:t>依据</w:t>
      </w:r>
      <w:r>
        <w:rPr>
          <w:rFonts w:hint="eastAsia"/>
          <w:lang w:val="en-US" w:eastAsia="zh-CN"/>
        </w:rPr>
        <w:t>相关文件</w:t>
      </w:r>
      <w:r>
        <w:rPr>
          <w:rFonts w:hint="eastAsia"/>
        </w:rPr>
        <w:t>要求，本次绩效评价秉承科学规范、公正公开、分级分类、绩效相关等原则，按照从投入、过程到产出效果和影响的绩效逻辑路径，结合和田地区本级科技三项经费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w:t>
      </w:r>
      <w:r>
        <w:t>1</w:t>
      </w:r>
      <w:r>
        <w:rPr>
          <w:rFonts w:hint="eastAsia"/>
        </w:rPr>
        <w:t>）在数据采集时，采取客观数据，主管部门审查、社会中介组织复查，与问卷调查相结合的形式，以保证各项指标的真实性。</w:t>
      </w:r>
    </w:p>
    <w:p>
      <w:pPr>
        <w:spacing w:line="600" w:lineRule="exact"/>
        <w:ind w:firstLine="560"/>
      </w:pPr>
      <w:r>
        <w:rPr>
          <w:rFonts w:hint="eastAsia"/>
        </w:rPr>
        <w:t>（</w:t>
      </w:r>
      <w:r>
        <w:t>2</w:t>
      </w:r>
      <w:r>
        <w:rPr>
          <w:rFonts w:hint="eastAsia"/>
        </w:rPr>
        <w:t>）保证评价结果的真实性、公正性，提高评价报告的公信力。</w:t>
      </w:r>
    </w:p>
    <w:p>
      <w:pPr>
        <w:spacing w:line="600" w:lineRule="exact"/>
        <w:ind w:firstLine="560"/>
      </w:pPr>
      <w:r>
        <w:rPr>
          <w:rFonts w:hint="eastAsia"/>
        </w:rPr>
        <w:t>（</w:t>
      </w:r>
      <w:r>
        <w:t>3</w:t>
      </w:r>
      <w:r>
        <w:rPr>
          <w:rFonts w:hint="eastAsia"/>
        </w:rPr>
        <w:t>）绩效评价报告应当简明扼要，除了对绩效评价的过程、结果描述外，还应总结经验，指出问题，并就共性问题提出可操作性改进建议。</w:t>
      </w:r>
    </w:p>
    <w:p>
      <w:pPr>
        <w:pStyle w:val="2"/>
        <w:ind w:firstLine="562"/>
      </w:pPr>
      <w:bookmarkStart w:id="8" w:name="_Toc26131"/>
      <w:bookmarkStart w:id="9" w:name="_Toc428278230"/>
      <w:bookmarkStart w:id="10" w:name="_Toc419984722"/>
      <w:bookmarkStart w:id="11" w:name="_Toc1913"/>
      <w:r>
        <w:t>2.</w:t>
      </w:r>
      <w:r>
        <w:rPr>
          <w:rFonts w:hint="eastAsia"/>
        </w:rPr>
        <w:t>绩效评价指标体系</w:t>
      </w:r>
      <w:bookmarkEnd w:id="8"/>
      <w:bookmarkEnd w:id="9"/>
      <w:bookmarkEnd w:id="10"/>
      <w:bookmarkEnd w:id="11"/>
    </w:p>
    <w:p>
      <w:pPr>
        <w:spacing w:line="600" w:lineRule="exact"/>
        <w:ind w:firstLine="560"/>
        <w:rPr>
          <w:rFonts w:hint="eastAsia" w:eastAsia="仿宋_GB2312"/>
          <w:lang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t>3.</w:t>
      </w:r>
      <w:r>
        <w:rPr>
          <w:rFonts w:hint="eastAsia"/>
        </w:rPr>
        <w:t>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t>4.</w:t>
      </w:r>
      <w:r>
        <w:rPr>
          <w:rFonts w:hint="eastAsia"/>
        </w:rPr>
        <w:t>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firstLine="560"/>
      </w:pPr>
      <w:r>
        <w:rPr>
          <w:rFonts w:hint="eastAsia"/>
        </w:rPr>
        <w:t>本次评价成立了评价工作组本次评价设计了评价方案、评价指标体系，通过资料分析、调研、访谈满意度调查等方式形成评价结论，确定评价意见，并出具评价报告。　</w:t>
      </w:r>
    </w:p>
    <w:p>
      <w:pPr>
        <w:pStyle w:val="3"/>
        <w:numPr>
          <w:ilvl w:val="0"/>
          <w:numId w:val="6"/>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和田地区本级科技三项经费项目</w:t>
      </w:r>
      <w:r>
        <w:rPr>
          <w:rFonts w:hint="eastAsia"/>
          <w:lang w:val="zh-TW" w:eastAsia="zh-TW"/>
        </w:rPr>
        <w:t>绩效进行客观评价，最终评分结果：总分为</w:t>
      </w:r>
      <w:r>
        <w:t>9</w:t>
      </w:r>
      <w:r>
        <w:rPr>
          <w:rFonts w:hint="eastAsia"/>
        </w:rPr>
        <w:t>6</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tbl>
      <w:tblPr>
        <w:tblStyle w:val="11"/>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w:t>
            </w:r>
            <w:r>
              <w:rPr>
                <w:rFonts w:ascii="宋体" w:hAnsi="宋体" w:eastAsia="宋体" w:cs="宋体"/>
                <w:b/>
                <w:color w:val="000000"/>
                <w:kern w:val="0"/>
                <w:sz w:val="24"/>
              </w:rPr>
              <w:t>3-1</w:t>
            </w:r>
            <w:r>
              <w:rPr>
                <w:rFonts w:hint="eastAsia" w:ascii="宋体" w:hAnsi="宋体" w:eastAsia="宋体" w:cs="宋体"/>
                <w:b/>
                <w:color w:val="000000"/>
                <w:kern w:val="0"/>
                <w:sz w:val="24"/>
              </w:rPr>
              <w:t>：和田地区本级科技三项经费项目得分表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ascii="宋体" w:hAnsi="宋体" w:eastAsia="宋体" w:cs="宋体"/>
                <w:b/>
                <w:bCs/>
                <w:color w:val="000000"/>
                <w:kern w:val="0"/>
                <w:sz w:val="24"/>
              </w:rPr>
              <w:t>1.</w:t>
            </w:r>
            <w:r>
              <w:rPr>
                <w:rFonts w:hint="eastAsia" w:ascii="宋体" w:hAnsi="宋体" w:eastAsia="宋体" w:cs="宋体"/>
                <w:b/>
                <w:bCs/>
                <w:color w:val="000000"/>
                <w:kern w:val="0"/>
                <w:sz w:val="24"/>
              </w:rPr>
              <w:t>项目决策</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ascii="宋体" w:hAnsi="宋体" w:eastAsia="宋体" w:cs="宋体"/>
                <w:b/>
                <w:bCs/>
                <w:color w:val="000000"/>
                <w:kern w:val="0"/>
                <w:sz w:val="24"/>
              </w:rPr>
              <w:t>2.</w:t>
            </w:r>
            <w:r>
              <w:rPr>
                <w:rFonts w:hint="eastAsia" w:ascii="宋体" w:hAnsi="宋体" w:eastAsia="宋体" w:cs="宋体"/>
                <w:b/>
                <w:bCs/>
                <w:color w:val="000000"/>
                <w:kern w:val="0"/>
                <w:sz w:val="24"/>
              </w:rPr>
              <w:t>过程管理</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ascii="宋体" w:hAnsi="宋体" w:eastAsia="宋体" w:cs="宋体"/>
                <w:b/>
                <w:bCs/>
                <w:color w:val="000000"/>
                <w:kern w:val="0"/>
                <w:sz w:val="24"/>
              </w:rPr>
              <w:t>3.</w:t>
            </w:r>
            <w:r>
              <w:rPr>
                <w:rFonts w:hint="eastAsia" w:ascii="宋体" w:hAnsi="宋体" w:eastAsia="宋体" w:cs="宋体"/>
                <w:b/>
                <w:bCs/>
                <w:color w:val="000000"/>
                <w:kern w:val="0"/>
                <w:sz w:val="24"/>
              </w:rPr>
              <w:t>项目产出</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ascii="宋体" w:hAnsi="宋体" w:eastAsia="宋体" w:cs="宋体"/>
                <w:b/>
                <w:bCs/>
                <w:color w:val="000000"/>
                <w:kern w:val="0"/>
                <w:sz w:val="24"/>
              </w:rPr>
              <w:t>4.</w:t>
            </w:r>
            <w:r>
              <w:rPr>
                <w:rFonts w:hint="eastAsia" w:ascii="宋体" w:hAnsi="宋体" w:eastAsia="宋体" w:cs="宋体"/>
                <w:b/>
                <w:bCs/>
                <w:color w:val="000000"/>
                <w:kern w:val="0"/>
                <w:sz w:val="24"/>
              </w:rPr>
              <w:t>项目效益</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18</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19</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2</w:t>
            </w:r>
            <w:r>
              <w:rPr>
                <w:rFonts w:hint="eastAsia" w:ascii="宋体" w:hAnsi="宋体" w:eastAsia="宋体" w:cs="宋体"/>
                <w:color w:val="000000"/>
                <w:kern w:val="0"/>
                <w:sz w:val="24"/>
              </w:rPr>
              <w:t>9</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96</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90%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95%</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100%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96.</w:t>
            </w:r>
            <w:r>
              <w:rPr>
                <w:rFonts w:hint="eastAsia" w:ascii="宋体" w:hAnsi="宋体" w:eastAsia="宋体" w:cs="宋体"/>
                <w:color w:val="000000"/>
                <w:kern w:val="0"/>
                <w:sz w:val="24"/>
              </w:rPr>
              <w:t>67</w:t>
            </w:r>
            <w:r>
              <w:rPr>
                <w:rFonts w:ascii="宋体" w:hAnsi="宋体" w:eastAsia="宋体" w:cs="宋体"/>
                <w:color w:val="000000"/>
                <w:kern w:val="0"/>
                <w:sz w:val="24"/>
              </w:rPr>
              <w:t>%</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ascii="宋体" w:hAnsi="宋体" w:eastAsia="宋体" w:cs="宋体"/>
                <w:color w:val="000000"/>
                <w:kern w:val="0"/>
                <w:sz w:val="24"/>
              </w:rPr>
              <w:t>9</w:t>
            </w:r>
            <w:r>
              <w:rPr>
                <w:rFonts w:hint="eastAsia" w:ascii="宋体" w:hAnsi="宋体" w:eastAsia="宋体" w:cs="宋体"/>
                <w:color w:val="000000"/>
                <w:kern w:val="0"/>
                <w:sz w:val="24"/>
              </w:rPr>
              <w:t>6</w:t>
            </w:r>
            <w:r>
              <w:rPr>
                <w:rFonts w:ascii="宋体" w:hAnsi="宋体" w:eastAsia="宋体" w:cs="宋体"/>
                <w:color w:val="000000"/>
                <w:kern w:val="0"/>
                <w:sz w:val="24"/>
              </w:rPr>
              <w:t>%</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w:t>
      </w:r>
      <w:r>
        <w:t>3</w:t>
      </w:r>
      <w:r>
        <w:rPr>
          <w:rFonts w:hint="eastAsia"/>
        </w:rPr>
        <w:t>个二级指标和</w:t>
      </w:r>
      <w:r>
        <w:t>6</w:t>
      </w:r>
      <w:r>
        <w:rPr>
          <w:rFonts w:hint="eastAsia"/>
        </w:rPr>
        <w:t>个三级指标构成，权重分</w:t>
      </w:r>
      <w:r>
        <w:t>20</w:t>
      </w:r>
      <w:r>
        <w:rPr>
          <w:rFonts w:hint="eastAsia"/>
        </w:rPr>
        <w:t>分，实际得分</w:t>
      </w:r>
      <w:r>
        <w:t>18</w:t>
      </w:r>
      <w:r>
        <w:rPr>
          <w:rFonts w:hint="eastAsia"/>
        </w:rPr>
        <w:t>分，</w:t>
      </w:r>
      <w:r>
        <w:rPr>
          <w:rFonts w:hint="eastAsia"/>
          <w:color w:val="000000"/>
          <w:u w:color="000000"/>
          <w:lang w:val="zh-TW" w:eastAsia="zh-TW"/>
        </w:rPr>
        <w:t>各指标业绩值和绩效分值如表</w:t>
      </w:r>
      <w:r>
        <w:rPr>
          <w:color w:val="000000"/>
          <w:u w:color="000000"/>
        </w:rPr>
        <w:t>4-1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b/>
          <w:bCs/>
          <w:color w:val="000000"/>
          <w:u w:color="000000"/>
        </w:rPr>
        <w:t>4-1</w:t>
      </w:r>
      <w:r>
        <w:rPr>
          <w:rFonts w:hint="eastAsia"/>
          <w:b/>
          <w:bCs/>
          <w:color w:val="000000"/>
          <w:u w:color="000000"/>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一级指标</w:t>
            </w:r>
          </w:p>
        </w:tc>
        <w:tc>
          <w:tcPr>
            <w:tcW w:w="960"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251"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二级指标</w:t>
            </w:r>
          </w:p>
        </w:tc>
        <w:tc>
          <w:tcPr>
            <w:tcW w:w="794"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871"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三级指标</w:t>
            </w:r>
          </w:p>
        </w:tc>
        <w:tc>
          <w:tcPr>
            <w:tcW w:w="1417"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077" w:type="dxa"/>
            <w:tcBorders>
              <w:top w:val="single" w:color="000000" w:sz="4" w:space="0"/>
              <w:left w:val="single" w:color="000000" w:sz="4" w:space="0"/>
              <w:bottom w:val="single" w:color="auto"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项目决策</w:t>
            </w:r>
          </w:p>
        </w:tc>
        <w:tc>
          <w:tcPr>
            <w:tcW w:w="960"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20</w:t>
            </w:r>
          </w:p>
        </w:tc>
        <w:tc>
          <w:tcPr>
            <w:tcW w:w="1251"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项目立项　</w:t>
            </w:r>
          </w:p>
        </w:tc>
        <w:tc>
          <w:tcPr>
            <w:tcW w:w="794"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5</w:t>
            </w: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立项依据充分性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p>
        </w:tc>
        <w:tc>
          <w:tcPr>
            <w:tcW w:w="960"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p>
        </w:tc>
        <w:tc>
          <w:tcPr>
            <w:tcW w:w="1251"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p>
        </w:tc>
        <w:tc>
          <w:tcPr>
            <w:tcW w:w="794"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立项程序规范性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3</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960"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251"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绩效目标</w:t>
            </w:r>
          </w:p>
        </w:tc>
        <w:tc>
          <w:tcPr>
            <w:tcW w:w="794"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10</w:t>
            </w: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绩效目标合理性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5</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4</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960"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251"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794"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绩效指标明确性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5</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4</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960"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251"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资金投入</w:t>
            </w:r>
          </w:p>
        </w:tc>
        <w:tc>
          <w:tcPr>
            <w:tcW w:w="794" w:type="dxa"/>
            <w:vMerge w:val="restart"/>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5</w:t>
            </w: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预算编制科学性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960"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251"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794" w:type="dxa"/>
            <w:vMerge w:val="continue"/>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资金分配合理性</w:t>
            </w: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3</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合计</w:t>
            </w:r>
          </w:p>
        </w:tc>
        <w:tc>
          <w:tcPr>
            <w:tcW w:w="79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20</w:t>
            </w:r>
          </w:p>
        </w:tc>
        <w:tc>
          <w:tcPr>
            <w:tcW w:w="187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left"/>
              <w:textAlignment w:val="center"/>
              <w:rPr>
                <w:rFonts w:ascii="宋体" w:hAnsi="宋体" w:eastAsia="宋体" w:cs="宋体"/>
                <w:color w:val="000000"/>
                <w:sz w:val="21"/>
                <w:szCs w:val="21"/>
              </w:rPr>
            </w:pPr>
          </w:p>
        </w:tc>
        <w:tc>
          <w:tcPr>
            <w:tcW w:w="14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20</w:t>
            </w:r>
          </w:p>
        </w:tc>
        <w:tc>
          <w:tcPr>
            <w:tcW w:w="107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18</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color w:val="000000"/>
          <w:u w:color="000000"/>
        </w:rPr>
        <w:t>20</w:t>
      </w:r>
      <w:r>
        <w:rPr>
          <w:rFonts w:hint="eastAsia"/>
          <w:color w:val="000000"/>
          <w:u w:color="000000"/>
          <w:lang w:val="zh-TW" w:eastAsia="zh-TW"/>
        </w:rPr>
        <w:t>分，实际得分</w:t>
      </w:r>
      <w:r>
        <w:rPr>
          <w:color w:val="000000"/>
          <w:u w:color="000000"/>
        </w:rPr>
        <w:t>19</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color w:val="000000"/>
          <w:u w:color="000000"/>
        </w:rPr>
        <w:t>4-2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b/>
          <w:bCs/>
          <w:color w:val="000000"/>
          <w:u w:color="000000"/>
        </w:rPr>
        <w:t>4-2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一级指标</w:t>
            </w:r>
          </w:p>
        </w:tc>
        <w:tc>
          <w:tcPr>
            <w:tcW w:w="7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2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二级指标</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三级指标</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20</w:t>
            </w: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12</w:t>
            </w: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资金到位率</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sz w:val="21"/>
                <w:szCs w:val="21"/>
              </w:rPr>
            </w:pPr>
            <w:r>
              <w:rPr>
                <w:rFonts w:ascii="宋体" w:hAnsi="宋体" w:eastAsia="宋体" w:cs="宋体"/>
                <w:sz w:val="21"/>
                <w:szCs w:val="21"/>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sz w:val="21"/>
                <w:szCs w:val="21"/>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预算执行率</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sz w:val="21"/>
                <w:szCs w:val="21"/>
              </w:rPr>
            </w:pPr>
            <w:r>
              <w:rPr>
                <w:rFonts w:ascii="宋体" w:hAnsi="宋体" w:eastAsia="宋体" w:cs="宋体"/>
                <w:sz w:val="21"/>
                <w:szCs w:val="21"/>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sz w:val="21"/>
                <w:szCs w:val="21"/>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资金使用合规性</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sz w:val="21"/>
                <w:szCs w:val="21"/>
              </w:rPr>
            </w:pPr>
            <w:r>
              <w:rPr>
                <w:rFonts w:ascii="宋体" w:hAnsi="宋体" w:eastAsia="宋体" w:cs="宋体"/>
                <w:sz w:val="21"/>
                <w:szCs w:val="21"/>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sz w:val="21"/>
                <w:szCs w:val="21"/>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8</w:t>
            </w: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管理制度健全性</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sz w:val="21"/>
                <w:szCs w:val="21"/>
              </w:rPr>
            </w:pPr>
            <w:r>
              <w:rPr>
                <w:rFonts w:ascii="宋体" w:hAnsi="宋体" w:eastAsia="宋体" w:cs="宋体"/>
                <w:sz w:val="21"/>
                <w:szCs w:val="21"/>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sz w:val="21"/>
                <w:szCs w:val="21"/>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制度执行有效性</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sz w:val="21"/>
                <w:szCs w:val="21"/>
              </w:rPr>
            </w:pPr>
            <w:r>
              <w:rPr>
                <w:rFonts w:ascii="宋体" w:hAnsi="宋体" w:eastAsia="宋体" w:cs="宋体"/>
                <w:sz w:val="21"/>
                <w:szCs w:val="21"/>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sz w:val="21"/>
                <w:szCs w:val="21"/>
              </w:rPr>
              <w:t>3</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合计</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20</w:t>
            </w:r>
          </w:p>
        </w:tc>
        <w:tc>
          <w:tcPr>
            <w:tcW w:w="16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left"/>
              <w:textAlignment w:val="center"/>
              <w:rPr>
                <w:rFonts w:ascii="宋体" w:hAnsi="宋体" w:eastAsia="宋体" w:cs="宋体"/>
                <w:color w:val="000000"/>
                <w:sz w:val="21"/>
                <w:szCs w:val="21"/>
              </w:rPr>
            </w:pP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20</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19</w:t>
            </w:r>
          </w:p>
        </w:tc>
      </w:tr>
    </w:tbl>
    <w:p>
      <w:pPr>
        <w:pStyle w:val="4"/>
        <w:numPr>
          <w:ilvl w:val="0"/>
          <w:numId w:val="5"/>
        </w:numPr>
        <w:ind w:firstLine="643"/>
      </w:pPr>
      <w:r>
        <w:rPr>
          <w:rFonts w:hint="eastAsia"/>
        </w:rPr>
        <w:t>项目产出情况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color w:val="000000"/>
          <w:u w:color="000000"/>
        </w:rPr>
        <w:t>7</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color w:val="000000"/>
          <w:u w:color="000000"/>
        </w:rPr>
        <w:t>30</w:t>
      </w:r>
      <w:r>
        <w:rPr>
          <w:rFonts w:hint="eastAsia"/>
          <w:color w:val="000000"/>
          <w:u w:color="000000"/>
          <w:lang w:val="zh-TW" w:eastAsia="zh-TW"/>
        </w:rPr>
        <w:t>分，实际得分</w:t>
      </w:r>
      <w:r>
        <w:rPr>
          <w:rFonts w:hint="eastAsia"/>
          <w:color w:val="000000"/>
          <w:u w:color="000000"/>
        </w:rPr>
        <w:t>30</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color w:val="000000"/>
          <w:u w:color="000000"/>
        </w:rPr>
        <w:t>4-3</w:t>
      </w:r>
      <w:r>
        <w:rPr>
          <w:rFonts w:hint="eastAsia"/>
          <w:color w:val="000000"/>
          <w:u w:color="000000"/>
          <w:lang w:val="zh-TW" w:eastAsia="zh-TW"/>
        </w:rPr>
        <w:t>所示：</w:t>
      </w:r>
    </w:p>
    <w:p>
      <w:pPr>
        <w:keepNext/>
        <w:keepLines/>
        <w:ind w:firstLine="562"/>
        <w:jc w:val="center"/>
        <w:rPr>
          <w:rFonts w:ascii="仿宋_GB2312" w:cs="仿宋_GB2312"/>
          <w:b/>
          <w:bCs/>
        </w:rPr>
      </w:pPr>
      <w:r>
        <w:rPr>
          <w:rFonts w:hint="eastAsia" w:ascii="仿宋_GB2312" w:hAnsi="仿宋_GB2312" w:cs="仿宋_GB2312"/>
          <w:b/>
          <w:bCs/>
          <w:color w:val="000000"/>
          <w:u w:color="000000"/>
          <w:lang w:val="zh-TW" w:eastAsia="zh-TW"/>
        </w:rPr>
        <w:t>表</w:t>
      </w:r>
      <w:r>
        <w:rPr>
          <w:rFonts w:ascii="仿宋_GB2312" w:hAnsi="仿宋_GB2312" w:cs="仿宋_GB2312"/>
          <w:b/>
          <w:bCs/>
          <w:color w:val="000000"/>
          <w:u w:color="000000"/>
        </w:rPr>
        <w:t>4-3</w:t>
      </w:r>
      <w:r>
        <w:rPr>
          <w:rFonts w:hint="eastAsia" w:ascii="仿宋_GB2312" w:hAnsi="仿宋_GB2312" w:cs="仿宋_GB2312"/>
          <w:b/>
          <w:bCs/>
        </w:rPr>
        <w:t>项目产出</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1"/>
        <w:tblW w:w="8869" w:type="dxa"/>
        <w:tblInd w:w="0" w:type="dxa"/>
        <w:tblLayout w:type="fixed"/>
        <w:tblCellMar>
          <w:top w:w="0" w:type="dxa"/>
          <w:left w:w="0" w:type="dxa"/>
          <w:bottom w:w="0" w:type="dxa"/>
          <w:right w:w="0" w:type="dxa"/>
        </w:tblCellMar>
      </w:tblPr>
      <w:tblGrid>
        <w:gridCol w:w="915"/>
        <w:gridCol w:w="1152"/>
        <w:gridCol w:w="2401"/>
        <w:gridCol w:w="1439"/>
        <w:gridCol w:w="598"/>
        <w:gridCol w:w="1004"/>
        <w:gridCol w:w="584"/>
        <w:gridCol w:w="776"/>
      </w:tblGrid>
      <w:tr>
        <w:tblPrEx>
          <w:tblLayout w:type="fixed"/>
          <w:tblCellMar>
            <w:top w:w="0" w:type="dxa"/>
            <w:left w:w="0" w:type="dxa"/>
            <w:bottom w:w="0" w:type="dxa"/>
            <w:right w:w="0" w:type="dxa"/>
          </w:tblCellMar>
        </w:tblPrEx>
        <w:trPr>
          <w:trHeight w:val="23" w:hRule="atLeast"/>
        </w:trPr>
        <w:tc>
          <w:tcPr>
            <w:tcW w:w="9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一级指标</w:t>
            </w:r>
          </w:p>
        </w:tc>
        <w:tc>
          <w:tcPr>
            <w:tcW w:w="115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二级指标</w:t>
            </w:r>
          </w:p>
        </w:tc>
        <w:tc>
          <w:tcPr>
            <w:tcW w:w="240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三级指标</w:t>
            </w:r>
          </w:p>
        </w:tc>
        <w:tc>
          <w:tcPr>
            <w:tcW w:w="143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年度指标值</w:t>
            </w:r>
          </w:p>
        </w:tc>
        <w:tc>
          <w:tcPr>
            <w:tcW w:w="59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标杆分值</w:t>
            </w:r>
          </w:p>
        </w:tc>
        <w:tc>
          <w:tcPr>
            <w:tcW w:w="100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全年实际完成值</w:t>
            </w:r>
          </w:p>
        </w:tc>
        <w:tc>
          <w:tcPr>
            <w:tcW w:w="58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指标得分</w:t>
            </w:r>
          </w:p>
        </w:tc>
        <w:tc>
          <w:tcPr>
            <w:tcW w:w="77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备注</w:t>
            </w:r>
          </w:p>
        </w:tc>
      </w:tr>
      <w:tr>
        <w:tblPrEx>
          <w:tblLayout w:type="fixed"/>
          <w:tblCellMar>
            <w:top w:w="0" w:type="dxa"/>
            <w:left w:w="0" w:type="dxa"/>
            <w:bottom w:w="0" w:type="dxa"/>
            <w:right w:w="0" w:type="dxa"/>
          </w:tblCellMar>
        </w:tblPrEx>
        <w:trPr>
          <w:trHeight w:val="23" w:hRule="atLeast"/>
        </w:trPr>
        <w:tc>
          <w:tcPr>
            <w:tcW w:w="91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产出</w:t>
            </w:r>
          </w:p>
        </w:tc>
        <w:tc>
          <w:tcPr>
            <w:tcW w:w="115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数量指标</w:t>
            </w: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s="宋体"/>
                <w:color w:val="000000"/>
                <w:sz w:val="21"/>
                <w:szCs w:val="21"/>
              </w:rPr>
            </w:pPr>
            <w:r>
              <w:rPr>
                <w:rFonts w:hint="eastAsia" w:ascii="宋体" w:hAnsi="宋体" w:eastAsia="宋体"/>
                <w:color w:val="000000"/>
                <w:sz w:val="21"/>
                <w:szCs w:val="21"/>
                <w:shd w:val="clear" w:color="auto" w:fill="FFFFFF"/>
              </w:rPr>
              <w:t>评选项目个数（个）</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olor w:val="000000"/>
                <w:sz w:val="21"/>
                <w:szCs w:val="21"/>
                <w:shd w:val="clear" w:color="auto" w:fill="FFFFFF"/>
              </w:rPr>
              <w:t>≥</w:t>
            </w:r>
            <w:r>
              <w:rPr>
                <w:rFonts w:ascii="宋体" w:hAnsi="宋体" w:eastAsia="宋体"/>
                <w:color w:val="000000"/>
                <w:sz w:val="21"/>
                <w:szCs w:val="21"/>
                <w:shd w:val="clear" w:color="auto" w:fill="FFFFFF"/>
              </w:rPr>
              <w:t>10</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质量指标</w:t>
            </w: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项目实施科技含量（</w:t>
            </w:r>
            <w:r>
              <w:rPr>
                <w:rFonts w:ascii="宋体" w:hAnsi="宋体" w:eastAsia="宋体"/>
                <w:color w:val="000000"/>
                <w:sz w:val="21"/>
                <w:szCs w:val="21"/>
                <w:shd w:val="clear" w:color="auto" w:fill="FFFFFF"/>
              </w:rPr>
              <w:t>%</w:t>
            </w:r>
            <w:r>
              <w:rPr>
                <w:rFonts w:hint="eastAsia" w:ascii="宋体" w:hAnsi="宋体" w:eastAsia="宋体"/>
                <w:color w:val="000000"/>
                <w:sz w:val="21"/>
                <w:szCs w:val="21"/>
                <w:shd w:val="clear" w:color="auto" w:fill="FFFFFF"/>
              </w:rPr>
              <w:t>）</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w:t>
            </w:r>
            <w:r>
              <w:rPr>
                <w:rFonts w:ascii="宋体" w:hAnsi="宋体" w:eastAsia="宋体"/>
                <w:color w:val="000000"/>
                <w:sz w:val="21"/>
                <w:szCs w:val="21"/>
                <w:shd w:val="clear" w:color="auto" w:fill="FFFFFF"/>
              </w:rPr>
              <w:t>90%</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3</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2</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kern w:val="0"/>
                <w:sz w:val="21"/>
                <w:szCs w:val="21"/>
              </w:rPr>
            </w:pP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项目验收通过率（</w:t>
            </w:r>
            <w:r>
              <w:rPr>
                <w:rFonts w:ascii="宋体" w:hAnsi="宋体" w:eastAsia="宋体"/>
                <w:color w:val="000000"/>
                <w:sz w:val="21"/>
                <w:szCs w:val="21"/>
                <w:shd w:val="clear" w:color="auto" w:fill="FFFFFF"/>
              </w:rPr>
              <w:t>%</w:t>
            </w:r>
            <w:r>
              <w:rPr>
                <w:rFonts w:hint="eastAsia" w:ascii="宋体" w:hAnsi="宋体" w:eastAsia="宋体"/>
                <w:color w:val="000000"/>
                <w:sz w:val="21"/>
                <w:szCs w:val="21"/>
                <w:shd w:val="clear" w:color="auto" w:fill="FFFFFF"/>
              </w:rPr>
              <w:t>）</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w:t>
            </w:r>
            <w:r>
              <w:rPr>
                <w:rFonts w:ascii="宋体" w:hAnsi="宋体" w:eastAsia="宋体"/>
                <w:color w:val="000000"/>
                <w:sz w:val="21"/>
                <w:szCs w:val="21"/>
                <w:shd w:val="clear" w:color="auto" w:fill="FFFFFF"/>
              </w:rPr>
              <w:t>90%</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3</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3</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时效指标</w:t>
            </w: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预期完成时间</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2019</w:t>
            </w:r>
            <w:r>
              <w:rPr>
                <w:rFonts w:hint="eastAsia" w:ascii="宋体" w:hAnsi="宋体" w:eastAsia="宋体"/>
                <w:color w:val="000000"/>
                <w:sz w:val="21"/>
                <w:szCs w:val="21"/>
                <w:shd w:val="clear" w:color="auto" w:fill="FFFFFF"/>
              </w:rPr>
              <w:t>年</w:t>
            </w:r>
            <w:r>
              <w:rPr>
                <w:rFonts w:ascii="宋体" w:hAnsi="宋体" w:eastAsia="宋体"/>
                <w:color w:val="000000"/>
                <w:sz w:val="21"/>
                <w:szCs w:val="21"/>
                <w:shd w:val="clear" w:color="auto" w:fill="FFFFFF"/>
              </w:rPr>
              <w:t>12</w:t>
            </w:r>
            <w:r>
              <w:rPr>
                <w:rFonts w:hint="eastAsia" w:ascii="宋体" w:hAnsi="宋体" w:eastAsia="宋体"/>
                <w:color w:val="000000"/>
                <w:sz w:val="21"/>
                <w:szCs w:val="21"/>
                <w:shd w:val="clear" w:color="auto" w:fill="FFFFFF"/>
              </w:rPr>
              <w:t>月</w:t>
            </w:r>
            <w:r>
              <w:rPr>
                <w:rFonts w:ascii="宋体" w:hAnsi="宋体" w:eastAsia="宋体"/>
                <w:color w:val="000000"/>
                <w:sz w:val="21"/>
                <w:szCs w:val="21"/>
                <w:shd w:val="clear" w:color="auto" w:fill="FFFFFF"/>
              </w:rPr>
              <w:t>31</w:t>
            </w:r>
            <w:r>
              <w:rPr>
                <w:rFonts w:hint="eastAsia" w:ascii="宋体" w:hAnsi="宋体" w:eastAsia="宋体"/>
                <w:color w:val="000000"/>
                <w:sz w:val="21"/>
                <w:szCs w:val="21"/>
                <w:shd w:val="clear" w:color="auto" w:fill="FFFFFF"/>
              </w:rPr>
              <w:t>日</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4</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4</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kern w:val="0"/>
                <w:sz w:val="21"/>
                <w:szCs w:val="21"/>
              </w:rPr>
            </w:pP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资金支付及时率（</w:t>
            </w:r>
            <w:r>
              <w:rPr>
                <w:rFonts w:ascii="宋体" w:hAnsi="宋体" w:eastAsia="宋体"/>
                <w:color w:val="000000"/>
                <w:sz w:val="21"/>
                <w:szCs w:val="21"/>
                <w:shd w:val="clear" w:color="auto" w:fill="FFFFFF"/>
              </w:rPr>
              <w:t>%</w:t>
            </w:r>
            <w:r>
              <w:rPr>
                <w:rFonts w:hint="eastAsia" w:ascii="宋体" w:hAnsi="宋体" w:eastAsia="宋体"/>
                <w:color w:val="000000"/>
                <w:sz w:val="21"/>
                <w:szCs w:val="21"/>
                <w:shd w:val="clear" w:color="auto" w:fill="FFFFFF"/>
              </w:rPr>
              <w:t>）</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100%</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100%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成本指标</w:t>
            </w: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s="宋体"/>
                <w:color w:val="000000"/>
                <w:sz w:val="21"/>
                <w:szCs w:val="21"/>
              </w:rPr>
            </w:pPr>
            <w:r>
              <w:rPr>
                <w:rFonts w:hint="eastAsia" w:ascii="宋体" w:hAnsi="宋体" w:eastAsia="宋体"/>
                <w:color w:val="000000"/>
                <w:sz w:val="21"/>
                <w:szCs w:val="21"/>
                <w:shd w:val="clear" w:color="auto" w:fill="FFFFFF"/>
              </w:rPr>
              <w:t>项目补助所需费用（万元）</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s="宋体"/>
                <w:color w:val="000000"/>
                <w:sz w:val="21"/>
                <w:szCs w:val="21"/>
              </w:rPr>
            </w:pPr>
            <w:r>
              <w:rPr>
                <w:rFonts w:hAnsi="宋体" w:eastAsia="宋体"/>
                <w:color w:val="000000"/>
                <w:sz w:val="21"/>
                <w:szCs w:val="21"/>
                <w:shd w:val="clear" w:color="auto" w:fill="FFFFFF"/>
              </w:rPr>
              <w:t>≤80</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80</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kern w:val="0"/>
                <w:sz w:val="21"/>
                <w:szCs w:val="21"/>
              </w:rPr>
            </w:pPr>
          </w:p>
        </w:tc>
        <w:tc>
          <w:tcPr>
            <w:tcW w:w="24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ind w:firstLine="0" w:firstLineChars="0"/>
              <w:jc w:val="left"/>
              <w:textAlignment w:val="center"/>
              <w:rPr>
                <w:rFonts w:ascii="宋体" w:hAnsi="宋体" w:eastAsia="宋体" w:cs="宋体"/>
                <w:color w:val="000000"/>
                <w:sz w:val="21"/>
                <w:szCs w:val="21"/>
              </w:rPr>
            </w:pPr>
            <w:r>
              <w:rPr>
                <w:rFonts w:hint="eastAsia" w:ascii="宋体" w:hAnsi="宋体" w:eastAsia="宋体"/>
                <w:color w:val="000000"/>
                <w:sz w:val="21"/>
                <w:szCs w:val="21"/>
                <w:shd w:val="clear" w:color="auto" w:fill="FFFFFF"/>
              </w:rPr>
              <w:t>每个项目补助金额（万元）</w:t>
            </w:r>
          </w:p>
        </w:tc>
        <w:tc>
          <w:tcPr>
            <w:tcW w:w="14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420"/>
              <w:textAlignment w:val="center"/>
              <w:rPr>
                <w:rFonts w:ascii="宋体" w:hAnsi="宋体" w:eastAsia="宋体" w:cs="宋体"/>
                <w:color w:val="000000"/>
                <w:sz w:val="21"/>
                <w:szCs w:val="21"/>
              </w:rPr>
            </w:pPr>
            <w:r>
              <w:rPr>
                <w:rFonts w:hint="eastAsia" w:hAnsi="宋体"/>
                <w:color w:val="000000"/>
                <w:sz w:val="21"/>
                <w:szCs w:val="21"/>
                <w:shd w:val="clear" w:color="auto" w:fill="FFFFFF"/>
              </w:rPr>
              <w:t>≥</w:t>
            </w:r>
            <w:r>
              <w:rPr>
                <w:rFonts w:hAnsi="宋体"/>
                <w:color w:val="000000"/>
                <w:sz w:val="21"/>
                <w:szCs w:val="21"/>
                <w:shd w:val="clear" w:color="auto" w:fill="FFFFFF"/>
              </w:rPr>
              <w:t>5</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8</w:t>
            </w: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hd w:val="solid" w:color="FFFFFF" w:fill="auto"/>
              <w:autoSpaceDN w:val="0"/>
              <w:adjustRightInd w:val="0"/>
              <w:snapToGrid w:val="0"/>
              <w:spacing w:line="240" w:lineRule="auto"/>
              <w:ind w:firstLine="0" w:firstLineChars="0"/>
              <w:jc w:val="center"/>
              <w:textAlignment w:val="center"/>
              <w:rPr>
                <w:rFonts w:ascii="宋体" w:hAnsi="宋体" w:eastAsia="宋体"/>
                <w:color w:val="000000"/>
                <w:sz w:val="21"/>
                <w:szCs w:val="21"/>
                <w:shd w:val="clear" w:color="auto" w:fill="FFFFFF"/>
              </w:rPr>
            </w:pPr>
            <w:r>
              <w:rPr>
                <w:rFonts w:ascii="宋体" w:hAnsi="宋体" w:eastAsia="宋体"/>
                <w:color w:val="000000"/>
                <w:sz w:val="21"/>
                <w:szCs w:val="21"/>
                <w:shd w:val="clear" w:color="auto" w:fill="FFFFFF"/>
              </w:rPr>
              <w:t>5</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590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合计</w:t>
            </w:r>
          </w:p>
        </w:tc>
        <w:tc>
          <w:tcPr>
            <w:tcW w:w="59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r>
              <w:rPr>
                <w:rFonts w:ascii="宋体" w:hAnsi="宋体" w:eastAsia="宋体" w:cs="宋体"/>
                <w:color w:val="000000"/>
                <w:sz w:val="21"/>
                <w:szCs w:val="21"/>
              </w:rPr>
              <w:t>30</w:t>
            </w:r>
          </w:p>
        </w:tc>
        <w:tc>
          <w:tcPr>
            <w:tcW w:w="100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c>
          <w:tcPr>
            <w:tcW w:w="58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30</w:t>
            </w:r>
          </w:p>
        </w:tc>
        <w:tc>
          <w:tcPr>
            <w:tcW w:w="77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bl>
    <w:p>
      <w:pPr>
        <w:pStyle w:val="4"/>
        <w:numPr>
          <w:ilvl w:val="0"/>
          <w:numId w:val="5"/>
        </w:numPr>
        <w:ind w:firstLine="643"/>
      </w:pP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color w:val="000000"/>
          <w:u w:color="000000"/>
        </w:rPr>
        <w:t>4</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color w:val="000000"/>
          <w:u w:color="000000"/>
        </w:rPr>
        <w:t>30</w:t>
      </w:r>
      <w:r>
        <w:rPr>
          <w:rFonts w:hint="eastAsia"/>
          <w:color w:val="000000"/>
          <w:u w:color="000000"/>
          <w:lang w:val="zh-TW" w:eastAsia="zh-TW"/>
        </w:rPr>
        <w:t>分，实际得分</w:t>
      </w:r>
      <w:r>
        <w:rPr>
          <w:color w:val="000000"/>
          <w:u w:color="000000"/>
        </w:rPr>
        <w:t>29</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color w:val="000000"/>
          <w:u w:color="000000"/>
        </w:rPr>
        <w:t>4-3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1"/>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color w:val="000000"/>
                <w:sz w:val="21"/>
                <w:szCs w:val="21"/>
              </w:rPr>
            </w:pPr>
            <w:r>
              <w:rPr>
                <w:rFonts w:hint="eastAsia" w:ascii="宋体" w:hAnsi="宋体" w:eastAsia="宋体" w:cs="宋体"/>
                <w:b/>
                <w:color w:val="000000"/>
                <w:kern w:val="0"/>
                <w:sz w:val="21"/>
                <w:szCs w:val="21"/>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效益</w:t>
            </w:r>
          </w:p>
        </w:tc>
        <w:tc>
          <w:tcPr>
            <w:tcW w:w="11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tbl>
            <w:tblPr>
              <w:tblStyle w:val="11"/>
              <w:tblpPr w:leftFromText="180" w:rightFromText="180" w:vertAnchor="text" w:tblpX="48" w:tblpY="787"/>
              <w:tblOverlap w:val="never"/>
              <w:tblW w:w="1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155" w:type="dxa"/>
                  <w:tcBorders>
                    <w:top w:val="single" w:color="auto" w:sz="4" w:space="0"/>
                    <w:left w:val="single" w:color="auto" w:sz="4" w:space="0"/>
                    <w:bottom w:val="single" w:color="auto" w:sz="4" w:space="0"/>
                    <w:right w:val="single" w:color="auto" w:sz="4" w:space="0"/>
                  </w:tcBorders>
                </w:tcPr>
                <w:p>
                  <w:pPr>
                    <w:widowControl/>
                    <w:spacing w:line="240" w:lineRule="atLeast"/>
                    <w:ind w:firstLine="420"/>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经济效益指标</w:t>
                  </w:r>
                </w:p>
              </w:tc>
            </w:tr>
          </w:tbl>
          <w:p>
            <w:pPr>
              <w:widowControl/>
              <w:spacing w:line="240" w:lineRule="atLeast"/>
              <w:ind w:firstLine="0" w:firstLineChars="0"/>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社会效益指</w:t>
            </w:r>
          </w:p>
        </w:tc>
        <w:tc>
          <w:tcPr>
            <w:tcW w:w="2898"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努力提升全地区科技创新和成果转化能力（</w:t>
            </w:r>
            <w:r>
              <w:rPr>
                <w:rFonts w:ascii="宋体" w:hAnsi="宋体" w:eastAsia="宋体" w:cs="宋体"/>
                <w:color w:val="000000"/>
                <w:sz w:val="21"/>
                <w:szCs w:val="21"/>
              </w:rPr>
              <w:t>%</w:t>
            </w:r>
            <w:r>
              <w:rPr>
                <w:rFonts w:hint="eastAsia" w:ascii="宋体" w:hAnsi="宋体" w:eastAsia="宋体" w:cs="宋体"/>
                <w:color w:val="000000"/>
                <w:sz w:val="21"/>
                <w:szCs w:val="21"/>
              </w:rPr>
              <w:t>）</w:t>
            </w:r>
          </w:p>
        </w:tc>
        <w:tc>
          <w:tcPr>
            <w:tcW w:w="1367"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w:t>
            </w:r>
            <w:r>
              <w:rPr>
                <w:rFonts w:ascii="宋体" w:hAnsi="宋体" w:eastAsia="宋体" w:cs="宋体"/>
                <w:color w:val="000000"/>
                <w:sz w:val="21"/>
                <w:szCs w:val="21"/>
              </w:rPr>
              <w:t>85%</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10</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100%</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10</w:t>
            </w:r>
          </w:p>
        </w:tc>
        <w:tc>
          <w:tcPr>
            <w:tcW w:w="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83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16" w:type="dxa"/>
            <w:vMerge w:val="continue"/>
            <w:tcBorders>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kern w:val="0"/>
                <w:sz w:val="21"/>
                <w:szCs w:val="21"/>
              </w:rPr>
            </w:pPr>
          </w:p>
        </w:tc>
        <w:tc>
          <w:tcPr>
            <w:tcW w:w="2898"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有效解决农业发展中农民增收目标（</w:t>
            </w:r>
            <w:r>
              <w:rPr>
                <w:rFonts w:ascii="宋体" w:hAnsi="宋体" w:eastAsia="宋体" w:cs="宋体"/>
                <w:color w:val="000000"/>
                <w:sz w:val="21"/>
                <w:szCs w:val="21"/>
              </w:rPr>
              <w:t>%</w:t>
            </w:r>
            <w:r>
              <w:rPr>
                <w:rFonts w:hint="eastAsia" w:ascii="宋体" w:hAnsi="宋体" w:eastAsia="宋体" w:cs="宋体"/>
                <w:color w:val="000000"/>
                <w:sz w:val="21"/>
                <w:szCs w:val="21"/>
              </w:rPr>
              <w:t>）</w:t>
            </w:r>
          </w:p>
        </w:tc>
        <w:tc>
          <w:tcPr>
            <w:tcW w:w="1367"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w:t>
            </w:r>
            <w:r>
              <w:rPr>
                <w:rFonts w:ascii="宋体" w:hAnsi="宋体" w:eastAsia="宋体" w:cs="宋体"/>
                <w:color w:val="000000"/>
                <w:sz w:val="21"/>
                <w:szCs w:val="21"/>
              </w:rPr>
              <w:t>20%</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5</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25%</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5</w:t>
            </w:r>
          </w:p>
        </w:tc>
        <w:tc>
          <w:tcPr>
            <w:tcW w:w="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83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可持续影响指标</w:t>
            </w: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有效解决现代农业发展的技术问题（</w:t>
            </w:r>
            <w:r>
              <w:rPr>
                <w:rFonts w:ascii="宋体" w:hAnsi="宋体" w:eastAsia="宋体" w:cs="宋体"/>
                <w:color w:val="000000"/>
                <w:sz w:val="21"/>
                <w:szCs w:val="21"/>
              </w:rPr>
              <w:t>%</w:t>
            </w:r>
            <w:r>
              <w:rPr>
                <w:rFonts w:hint="eastAsia" w:ascii="宋体" w:hAnsi="宋体" w:eastAsia="宋体" w:cs="宋体"/>
                <w:color w:val="000000"/>
                <w:sz w:val="21"/>
                <w:szCs w:val="21"/>
              </w:rPr>
              <w:t>）</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w:t>
            </w:r>
            <w:r>
              <w:rPr>
                <w:rFonts w:ascii="宋体" w:hAnsi="宋体" w:eastAsia="宋体" w:cs="宋体"/>
                <w:color w:val="000000"/>
                <w:sz w:val="21"/>
                <w:szCs w:val="21"/>
              </w:rPr>
              <w:t>85%</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7</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80%</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6</w:t>
            </w:r>
          </w:p>
        </w:tc>
        <w:tc>
          <w:tcPr>
            <w:tcW w:w="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83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满意度指标</w:t>
            </w:r>
          </w:p>
        </w:tc>
        <w:tc>
          <w:tcPr>
            <w:tcW w:w="2898"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项目实施单位满意度（</w:t>
            </w:r>
            <w:r>
              <w:rPr>
                <w:rFonts w:ascii="宋体" w:hAnsi="宋体" w:eastAsia="宋体" w:cs="宋体"/>
                <w:color w:val="000000"/>
                <w:sz w:val="21"/>
                <w:szCs w:val="21"/>
              </w:rPr>
              <w:t>%</w:t>
            </w:r>
            <w:r>
              <w:rPr>
                <w:rFonts w:hint="eastAsia" w:ascii="宋体" w:hAnsi="宋体" w:eastAsia="宋体" w:cs="宋体"/>
                <w:color w:val="000000"/>
                <w:sz w:val="21"/>
                <w:szCs w:val="21"/>
              </w:rPr>
              <w:t>）</w:t>
            </w:r>
          </w:p>
        </w:tc>
        <w:tc>
          <w:tcPr>
            <w:tcW w:w="1367"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w:t>
            </w:r>
            <w:r>
              <w:rPr>
                <w:rFonts w:ascii="宋体" w:hAnsi="宋体" w:eastAsia="宋体" w:cs="宋体"/>
                <w:color w:val="000000"/>
                <w:sz w:val="21"/>
                <w:szCs w:val="21"/>
              </w:rPr>
              <w:t>95%</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8</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8</w:t>
            </w:r>
          </w:p>
        </w:tc>
        <w:tc>
          <w:tcPr>
            <w:tcW w:w="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合计</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30</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color w:val="000000"/>
                <w:sz w:val="21"/>
                <w:szCs w:val="21"/>
              </w:rPr>
            </w:pPr>
            <w:r>
              <w:rPr>
                <w:rFonts w:ascii="宋体" w:hAnsi="宋体" w:eastAsia="宋体" w:cs="宋体"/>
                <w:color w:val="000000"/>
                <w:sz w:val="21"/>
                <w:szCs w:val="21"/>
              </w:rPr>
              <w:t>29</w:t>
            </w:r>
          </w:p>
        </w:tc>
        <w:tc>
          <w:tcPr>
            <w:tcW w:w="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color w:val="000000"/>
                <w:sz w:val="21"/>
                <w:szCs w:val="21"/>
              </w:rPr>
            </w:pPr>
          </w:p>
        </w:tc>
      </w:tr>
    </w:tbl>
    <w:p>
      <w:pPr>
        <w:pStyle w:val="3"/>
        <w:ind w:firstLine="640"/>
      </w:pPr>
      <w:r>
        <w:rPr>
          <w:rFonts w:hint="eastAsia"/>
        </w:rPr>
        <w:t>五、主要经验及做法、存在的问题及原因分析</w:t>
      </w:r>
    </w:p>
    <w:p>
      <w:pPr>
        <w:pStyle w:val="4"/>
        <w:numPr>
          <w:ilvl w:val="0"/>
          <w:numId w:val="7"/>
        </w:numPr>
        <w:ind w:firstLine="643"/>
      </w:pPr>
      <w:bookmarkStart w:id="12" w:name="_Toc1921"/>
      <w:bookmarkStart w:id="13" w:name="_Toc28290"/>
      <w:r>
        <w:rPr>
          <w:rFonts w:hint="eastAsia"/>
        </w:rPr>
        <w:t>主要经验及做法</w:t>
      </w:r>
      <w:bookmarkEnd w:id="12"/>
      <w:bookmarkEnd w:id="13"/>
    </w:p>
    <w:p>
      <w:pPr>
        <w:ind w:firstLine="560"/>
      </w:pPr>
      <w:r>
        <w:rPr>
          <w:rFonts w:hint="eastAsia"/>
        </w:rPr>
        <w:t>认真总结大力实施创新驱动发展战略和乡村振兴发展战略，努力提升全地区科技创新和成果转化能力，进一步提高科技创新在经济高质量发展中的重要作用。</w:t>
      </w:r>
    </w:p>
    <w:p>
      <w:pPr>
        <w:ind w:firstLine="560"/>
      </w:pPr>
      <w:r>
        <w:rPr>
          <w:rFonts w:hint="eastAsia"/>
        </w:rPr>
        <w:t>重视预算的编制工作，加强单位内部机构的预算管理意识，加强内部预算编制的审核和预算控制指标的下达。重视单位财务人员队伍建设，加强对财务人员做好各项财务工作的指导和培训，增强预算的约束力和严肃性。不断完善和落实相关管理制度，加强学习内部控制管理制度，严格遵照相关制度贯彻落实到位，做到精细化管理。</w:t>
      </w:r>
    </w:p>
    <w:p>
      <w:pPr>
        <w:pStyle w:val="4"/>
        <w:numPr>
          <w:ilvl w:val="2"/>
          <w:numId w:val="0"/>
        </w:numPr>
        <w:ind w:left="280" w:leftChars="100"/>
      </w:pPr>
      <w:r>
        <w:t xml:space="preserve"> </w:t>
      </w:r>
      <w:r>
        <w:rPr>
          <w:rFonts w:hint="eastAsia"/>
        </w:rPr>
        <w:t>（二）存在的问题及原因分析</w:t>
      </w:r>
    </w:p>
    <w:p>
      <w:pPr>
        <w:ind w:firstLine="560"/>
      </w:pPr>
      <w:r>
        <w:rPr>
          <w:rFonts w:hint="eastAsia"/>
        </w:rPr>
        <w:t>绩效管理的技术支持不足。财政预算绩效管理工作的覆盖面广、专业性强，不论预算单位在开展日常管理，还是财政部门组织实施绩效评价，都需要具备一定专业素养和实战经验的人力资源。预算单位绩效管理人员本身的技术实力无法满足工作需要。</w:t>
      </w:r>
    </w:p>
    <w:p>
      <w:pPr>
        <w:pStyle w:val="3"/>
        <w:ind w:firstLine="0" w:firstLineChars="0"/>
      </w:pPr>
      <w:r>
        <w:t xml:space="preserve">    </w:t>
      </w:r>
      <w:r>
        <w:rPr>
          <w:rFonts w:hint="eastAsia"/>
        </w:rPr>
        <w:t>六、有关建议</w:t>
      </w:r>
    </w:p>
    <w:p>
      <w:pPr>
        <w:ind w:firstLine="560"/>
        <w:rPr>
          <w:rFonts w:hint="eastAsia"/>
        </w:rPr>
      </w:pPr>
      <w:r>
        <w:rPr>
          <w:rFonts w:hint="eastAsia"/>
          <w:lang w:val="en-US" w:eastAsia="zh-CN"/>
        </w:rPr>
        <w:t>1</w:t>
      </w:r>
      <w:r>
        <w:rPr>
          <w:rFonts w:hint="eastAsia"/>
        </w:rPr>
        <w:t>.加强完善绩效管理制度体系建设，强化绩效观念。建立健全各类绩效管理规范性文件，制订完善统一的财政预算绩效管理工作操作规程、工作流程及业务规范，通过开展多种形式的培训宣传，同时利用各种媒体形式，宣传预算绩效管理工作，创造良好社会舆论氛围，让绩效理念深入人心、让绩效管理人员熟知政策、知行合一。</w:t>
      </w:r>
    </w:p>
    <w:p>
      <w:pPr>
        <w:ind w:firstLine="560"/>
        <w:rPr>
          <w:rFonts w:hint="eastAsia"/>
        </w:rPr>
      </w:pPr>
      <w:r>
        <w:rPr>
          <w:rFonts w:hint="eastAsia"/>
          <w:lang w:val="en-US" w:eastAsia="zh-CN"/>
        </w:rPr>
        <w:t>2</w:t>
      </w:r>
      <w:r>
        <w:rPr>
          <w:rFonts w:hint="eastAsia"/>
        </w:rPr>
        <w:t>.形成财政绩效评价的结果应用管理机制，突出结果导向。推进绩效信息公开制度，逐步将绩效目标、评价结果等绩效管理信息向本部门内部全面公开、扩大向社会公开的范围，特别是部分公众关注的项目，对其评价全过程进行公开，接受社会监督。</w:t>
      </w:r>
    </w:p>
    <w:p>
      <w:pPr>
        <w:pStyle w:val="3"/>
        <w:ind w:firstLine="640"/>
      </w:pPr>
      <w:r>
        <w:rPr>
          <w:rFonts w:hint="eastAsia"/>
        </w:rPr>
        <w:t>七、其他需要说明的问题</w:t>
      </w:r>
    </w:p>
    <w:p>
      <w:pPr>
        <w:ind w:firstLine="560"/>
        <w:rPr>
          <w:rFonts w:hint="eastAsia"/>
        </w:rPr>
      </w:pPr>
      <w:r>
        <w:rPr>
          <w:rFonts w:hint="eastAsia"/>
        </w:rPr>
        <w:t>本次评价通过文件研读、实地调研、数据分析等方式，全面了解各项经费的使用效率和效果，项目支出管理过程是否规范，是否完成了预期绩效目标等。同时，通过开展自我评价来总结经验和教训，为我单为实施开展</w:t>
      </w:r>
      <w:r>
        <w:t>2020</w:t>
      </w:r>
      <w:r>
        <w:rPr>
          <w:rFonts w:hint="eastAsia"/>
        </w:rPr>
        <w:t>年项目工作提供参考建议。</w:t>
      </w:r>
      <w:bookmarkStart w:id="14" w:name="_GoBack"/>
      <w:bookmarkEnd w:id="14"/>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pStyle w:val="3"/>
        <w:ind w:firstLine="640"/>
        <w:rPr>
          <w:rFonts w:hint="eastAsia"/>
        </w:rPr>
      </w:pPr>
    </w:p>
    <w:p>
      <w:pPr>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2"/>
      <w:numFmt w:val="chineseCounting"/>
      <w:suff w:val="nothing"/>
      <w:lvlText w:val="（%1）"/>
      <w:lvlJc w:val="left"/>
      <w:rPr>
        <w:rFonts w:hint="eastAsia" w:cs="Times New Roman"/>
      </w:rPr>
    </w:lvl>
  </w:abstractNum>
  <w:abstractNum w:abstractNumId="1">
    <w:nsid w:val="0000000D"/>
    <w:multiLevelType w:val="singleLevel"/>
    <w:tmpl w:val="0000000D"/>
    <w:lvl w:ilvl="0" w:tentative="0">
      <w:start w:val="2"/>
      <w:numFmt w:val="decimal"/>
      <w:suff w:val="nothing"/>
      <w:lvlText w:val="（%1）"/>
      <w:lvlJc w:val="left"/>
      <w:rPr>
        <w:rFonts w:cs="Times New Roman"/>
      </w:rPr>
    </w:lvl>
  </w:abstractNum>
  <w:abstractNum w:abstractNumId="2">
    <w:nsid w:val="0000000F"/>
    <w:multiLevelType w:val="singleLevel"/>
    <w:tmpl w:val="0000000F"/>
    <w:lvl w:ilvl="0" w:tentative="0">
      <w:start w:val="3"/>
      <w:numFmt w:val="chineseCounting"/>
      <w:suff w:val="nothing"/>
      <w:lvlText w:val="%1、"/>
      <w:lvlJc w:val="left"/>
      <w:rPr>
        <w:rFonts w:hint="eastAsia" w:cs="Times New Roman"/>
      </w:rPr>
    </w:lvl>
  </w:abstractNum>
  <w:abstractNum w:abstractNumId="3">
    <w:nsid w:val="00000010"/>
    <w:multiLevelType w:val="singleLevel"/>
    <w:tmpl w:val="00000010"/>
    <w:lvl w:ilvl="0" w:tentative="0">
      <w:start w:val="1"/>
      <w:numFmt w:val="chineseCounting"/>
      <w:suff w:val="nothing"/>
      <w:lvlText w:val="（%1）"/>
      <w:lvlJc w:val="left"/>
      <w:pPr>
        <w:ind w:firstLine="420"/>
      </w:pPr>
      <w:rPr>
        <w:rFonts w:hint="eastAsia" w:cs="Times New Roman"/>
      </w:rPr>
    </w:lvl>
  </w:abstractNum>
  <w:abstractNum w:abstractNumId="4">
    <w:nsid w:val="00000011"/>
    <w:multiLevelType w:val="multilevel"/>
    <w:tmpl w:val="00000011"/>
    <w:lvl w:ilvl="0" w:tentative="0">
      <w:start w:val="1"/>
      <w:numFmt w:val="chineseCountingThousand"/>
      <w:pStyle w:val="25"/>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00000012"/>
    <w:multiLevelType w:val="singleLevel"/>
    <w:tmpl w:val="00000012"/>
    <w:lvl w:ilvl="0" w:tentative="0">
      <w:start w:val="1"/>
      <w:numFmt w:val="chineseCounting"/>
      <w:suff w:val="nothing"/>
      <w:lvlText w:val="（%1）"/>
      <w:lvlJc w:val="left"/>
      <w:rPr>
        <w:rFonts w:hint="eastAsia" w:cs="Times New Roman"/>
      </w:rPr>
    </w:lvl>
  </w:abstractNum>
  <w:abstractNum w:abstractNumId="6">
    <w:nsid w:val="00000013"/>
    <w:multiLevelType w:val="singleLevel"/>
    <w:tmpl w:val="00000013"/>
    <w:lvl w:ilvl="0" w:tentative="0">
      <w:start w:val="1"/>
      <w:numFmt w:val="decimal"/>
      <w:suff w:val="nothing"/>
      <w:lvlText w:val="（%1）"/>
      <w:lvlJc w:val="left"/>
      <w:rPr>
        <w:rFonts w:cs="Times New Roman"/>
      </w:rPr>
    </w:lvl>
  </w:abstractNum>
  <w:num w:numId="1">
    <w:abstractNumId w:val="4"/>
  </w:num>
  <w:num w:numId="2">
    <w:abstractNumId w:val="1"/>
  </w:num>
  <w:num w:numId="3">
    <w:abstractNumId w:val="0"/>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73F"/>
    <w:rsid w:val="001A0180"/>
    <w:rsid w:val="0028573F"/>
    <w:rsid w:val="00373FA5"/>
    <w:rsid w:val="00907E04"/>
    <w:rsid w:val="009D59A3"/>
    <w:rsid w:val="009E43C8"/>
    <w:rsid w:val="009E62E2"/>
    <w:rsid w:val="00C651FC"/>
    <w:rsid w:val="00F36BBF"/>
    <w:rsid w:val="00F37D89"/>
    <w:rsid w:val="05B55475"/>
    <w:rsid w:val="05CE62F1"/>
    <w:rsid w:val="05FB259E"/>
    <w:rsid w:val="103D60AB"/>
    <w:rsid w:val="10765875"/>
    <w:rsid w:val="140C209D"/>
    <w:rsid w:val="14E45B95"/>
    <w:rsid w:val="1E793CBB"/>
    <w:rsid w:val="2DA525E1"/>
    <w:rsid w:val="3363332F"/>
    <w:rsid w:val="47673623"/>
    <w:rsid w:val="47981A4D"/>
    <w:rsid w:val="482A0FA9"/>
    <w:rsid w:val="4F40242F"/>
    <w:rsid w:val="4F9068B5"/>
    <w:rsid w:val="5C446776"/>
    <w:rsid w:val="61B12B94"/>
    <w:rsid w:val="628B3938"/>
    <w:rsid w:val="68CD2017"/>
    <w:rsid w:val="6BFB1F04"/>
    <w:rsid w:val="6F694485"/>
    <w:rsid w:val="767E64C4"/>
    <w:rsid w:val="79CF1A8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link w:val="13"/>
    <w:qFormat/>
    <w:uiPriority w:val="99"/>
    <w:pPr>
      <w:keepNext/>
      <w:keepLines/>
      <w:ind w:firstLine="964"/>
      <w:outlineLvl w:val="0"/>
    </w:pPr>
    <w:rPr>
      <w:rFonts w:eastAsia="黑体"/>
      <w:kern w:val="44"/>
      <w:sz w:val="32"/>
      <w:szCs w:val="22"/>
    </w:rPr>
  </w:style>
  <w:style w:type="paragraph" w:styleId="4">
    <w:name w:val="heading 2"/>
    <w:basedOn w:val="1"/>
    <w:next w:val="1"/>
    <w:link w:val="14"/>
    <w:qFormat/>
    <w:uiPriority w:val="99"/>
    <w:pPr>
      <w:keepNext/>
      <w:keepLines/>
      <w:ind w:firstLine="964"/>
      <w:outlineLvl w:val="1"/>
    </w:pPr>
    <w:rPr>
      <w:rFonts w:ascii="Arial" w:hAnsi="Arial" w:eastAsia="楷体"/>
      <w:b/>
      <w:sz w:val="32"/>
    </w:rPr>
  </w:style>
  <w:style w:type="paragraph" w:styleId="2">
    <w:name w:val="heading 3"/>
    <w:basedOn w:val="1"/>
    <w:next w:val="1"/>
    <w:link w:val="15"/>
    <w:qFormat/>
    <w:uiPriority w:val="99"/>
    <w:pPr>
      <w:keepNext/>
      <w:keepLines/>
      <w:ind w:firstLine="883"/>
      <w:outlineLvl w:val="2"/>
    </w:pPr>
    <w:rPr>
      <w:rFonts w:ascii="仿宋_GB2312" w:hAnsi="仿宋_GB2312"/>
      <w:b/>
      <w:bCs/>
      <w:kern w:val="0"/>
      <w:szCs w:val="32"/>
    </w:rPr>
  </w:style>
  <w:style w:type="character" w:default="1" w:styleId="10">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16"/>
    <w:qFormat/>
    <w:uiPriority w:val="99"/>
    <w:pPr>
      <w:jc w:val="left"/>
    </w:pPr>
  </w:style>
  <w:style w:type="paragraph" w:styleId="6">
    <w:name w:val="Body Text"/>
    <w:basedOn w:val="1"/>
    <w:next w:val="1"/>
    <w:link w:val="17"/>
    <w:uiPriority w:val="99"/>
    <w:pPr>
      <w:widowControl/>
      <w:spacing w:line="351" w:lineRule="atLeast"/>
      <w:ind w:firstLine="419"/>
    </w:pPr>
    <w:rPr>
      <w:color w:val="000000"/>
      <w:kern w:val="0"/>
      <w:sz w:val="31"/>
      <w:szCs w:val="20"/>
      <w:u w:color="000000"/>
    </w:rPr>
  </w:style>
  <w:style w:type="paragraph" w:styleId="7">
    <w:name w:val="footer"/>
    <w:basedOn w:val="1"/>
    <w:link w:val="18"/>
    <w:uiPriority w:val="99"/>
    <w:pPr>
      <w:tabs>
        <w:tab w:val="center" w:pos="4153"/>
        <w:tab w:val="right" w:pos="8306"/>
      </w:tabs>
      <w:snapToGrid w:val="0"/>
      <w:jc w:val="left"/>
    </w:pPr>
    <w:rPr>
      <w:sz w:val="18"/>
    </w:rPr>
  </w:style>
  <w:style w:type="paragraph" w:styleId="8">
    <w:name w:val="header"/>
    <w:basedOn w:val="1"/>
    <w:link w:val="19"/>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semiHidden/>
    <w:uiPriority w:val="99"/>
    <w:pPr>
      <w:spacing w:beforeAutospacing="1" w:afterAutospacing="1"/>
      <w:jc w:val="left"/>
    </w:pPr>
    <w:rPr>
      <w:kern w:val="0"/>
      <w:sz w:val="24"/>
    </w:rPr>
  </w:style>
  <w:style w:type="table" w:styleId="12">
    <w:name w:val="Table Grid"/>
    <w:basedOn w:val="11"/>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标题 1 Char"/>
    <w:link w:val="3"/>
    <w:qFormat/>
    <w:uiPriority w:val="9"/>
    <w:rPr>
      <w:rFonts w:eastAsia="仿宋_GB2312"/>
      <w:b/>
      <w:bCs/>
      <w:kern w:val="44"/>
      <w:sz w:val="44"/>
      <w:szCs w:val="44"/>
    </w:rPr>
  </w:style>
  <w:style w:type="character" w:customStyle="1" w:styleId="14">
    <w:name w:val="标题 2 Char"/>
    <w:link w:val="4"/>
    <w:semiHidden/>
    <w:qFormat/>
    <w:uiPriority w:val="9"/>
    <w:rPr>
      <w:rFonts w:ascii="Cambria" w:hAnsi="Cambria" w:eastAsia="宋体" w:cs="Times New Roman"/>
      <w:b/>
      <w:bCs/>
      <w:sz w:val="32"/>
      <w:szCs w:val="32"/>
    </w:rPr>
  </w:style>
  <w:style w:type="character" w:customStyle="1" w:styleId="15">
    <w:name w:val="标题 3 Char"/>
    <w:link w:val="2"/>
    <w:semiHidden/>
    <w:qFormat/>
    <w:uiPriority w:val="9"/>
    <w:rPr>
      <w:rFonts w:eastAsia="仿宋_GB2312"/>
      <w:b/>
      <w:bCs/>
      <w:sz w:val="32"/>
      <w:szCs w:val="32"/>
    </w:rPr>
  </w:style>
  <w:style w:type="character" w:customStyle="1" w:styleId="16">
    <w:name w:val="批注文字 Char"/>
    <w:link w:val="5"/>
    <w:semiHidden/>
    <w:qFormat/>
    <w:locked/>
    <w:uiPriority w:val="99"/>
    <w:rPr>
      <w:rFonts w:eastAsia="仿宋_GB2312" w:cs="Times New Roman"/>
      <w:kern w:val="2"/>
      <w:sz w:val="24"/>
      <w:szCs w:val="24"/>
    </w:rPr>
  </w:style>
  <w:style w:type="character" w:customStyle="1" w:styleId="17">
    <w:name w:val="正文文本 Char"/>
    <w:link w:val="6"/>
    <w:semiHidden/>
    <w:uiPriority w:val="99"/>
    <w:rPr>
      <w:rFonts w:eastAsia="仿宋_GB2312"/>
      <w:sz w:val="28"/>
      <w:szCs w:val="24"/>
    </w:rPr>
  </w:style>
  <w:style w:type="character" w:customStyle="1" w:styleId="18">
    <w:name w:val="页脚 Char"/>
    <w:link w:val="7"/>
    <w:semiHidden/>
    <w:uiPriority w:val="99"/>
    <w:rPr>
      <w:rFonts w:eastAsia="仿宋_GB2312"/>
      <w:sz w:val="18"/>
      <w:szCs w:val="18"/>
    </w:rPr>
  </w:style>
  <w:style w:type="character" w:customStyle="1" w:styleId="19">
    <w:name w:val="页眉 Char"/>
    <w:link w:val="8"/>
    <w:semiHidden/>
    <w:uiPriority w:val="99"/>
    <w:rPr>
      <w:rFonts w:eastAsia="仿宋_GB2312"/>
      <w:sz w:val="18"/>
      <w:szCs w:val="18"/>
    </w:rPr>
  </w:style>
  <w:style w:type="paragraph" w:customStyle="1" w:styleId="20">
    <w:name w:val="样式1"/>
    <w:basedOn w:val="1"/>
    <w:uiPriority w:val="99"/>
  </w:style>
  <w:style w:type="character" w:customStyle="1" w:styleId="21">
    <w:name w:val="批注主题 Char"/>
    <w:link w:val="22"/>
    <w:semiHidden/>
    <w:locked/>
    <w:uiPriority w:val="99"/>
    <w:rPr>
      <w:rFonts w:eastAsia="仿宋_GB2312" w:cs="Times New Roman"/>
      <w:b/>
      <w:bCs/>
      <w:kern w:val="2"/>
      <w:sz w:val="24"/>
      <w:szCs w:val="24"/>
    </w:rPr>
  </w:style>
  <w:style w:type="paragraph" w:customStyle="1" w:styleId="22">
    <w:name w:val="批注主题1"/>
    <w:basedOn w:val="5"/>
    <w:next w:val="5"/>
    <w:link w:val="21"/>
    <w:uiPriority w:val="99"/>
    <w:rPr>
      <w:b/>
      <w:bCs/>
    </w:rPr>
  </w:style>
  <w:style w:type="paragraph" w:customStyle="1" w:styleId="23">
    <w:name w:val="批注框文本 Char Char"/>
    <w:basedOn w:val="1"/>
    <w:link w:val="26"/>
    <w:uiPriority w:val="99"/>
    <w:pPr>
      <w:spacing w:line="240" w:lineRule="auto"/>
    </w:pPr>
    <w:rPr>
      <w:sz w:val="18"/>
      <w:szCs w:val="18"/>
    </w:rPr>
  </w:style>
  <w:style w:type="paragraph" w:customStyle="1" w:styleId="24">
    <w:name w:val="正文 A"/>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5">
    <w:name w:val="标题2"/>
    <w:basedOn w:val="4"/>
    <w:uiPriority w:val="99"/>
    <w:pPr>
      <w:numPr>
        <w:ilvl w:val="0"/>
        <w:numId w:val="1"/>
      </w:numPr>
      <w:spacing w:before="120" w:after="120" w:line="500" w:lineRule="exact"/>
    </w:pPr>
    <w:rPr>
      <w:rFonts w:ascii="仿宋_GB2312" w:eastAsia="仿宋_GB2312"/>
    </w:rPr>
  </w:style>
  <w:style w:type="character" w:customStyle="1" w:styleId="26">
    <w:name w:val="批注框文本 Char Char Char Char"/>
    <w:link w:val="23"/>
    <w:semiHidden/>
    <w:locked/>
    <w:uiPriority w:val="99"/>
    <w:rPr>
      <w:rFonts w:eastAsia="仿宋_GB2312" w:cs="Times New Roman"/>
      <w:kern w:val="2"/>
      <w:sz w:val="18"/>
      <w:szCs w:val="18"/>
    </w:rPr>
  </w:style>
  <w:style w:type="character" w:customStyle="1" w:styleId="27">
    <w:name w:val="批注引用1"/>
    <w:uiPriority w:val="99"/>
    <w:rPr>
      <w:rFonts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1749</Words>
  <Characters>9972</Characters>
  <Lines>83</Lines>
  <Paragraphs>23</Paragraphs>
  <TotalTime>34</TotalTime>
  <ScaleCrop>false</ScaleCrop>
  <LinksUpToDate>false</LinksUpToDate>
  <CharactersWithSpaces>11698</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2020-04-02T19:28:00Z</dcterms:created>
  <dc:creator>驰远天合-柴万顺-18690160103</dc:creator>
  <cp:lastModifiedBy>Administrator</cp:lastModifiedBy>
  <dcterms:modified xsi:type="dcterms:W3CDTF">2020-10-15T08:11:17Z</dcterms:modified>
  <dc:title>Mr.牧羊人</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