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1"/>
        <w:rPr>
          <w:rFonts w:hint="eastAsia" w:ascii="仿宋" w:hAnsi="仿宋" w:eastAsia="仿宋" w:cs="仿宋"/>
          <w:b/>
          <w:kern w:val="0"/>
          <w:sz w:val="32"/>
          <w:szCs w:val="32"/>
          <w:lang w:eastAsia="zh-Hans"/>
        </w:rPr>
      </w:pPr>
    </w:p>
    <w:p>
      <w:pPr>
        <w:keepNext w:val="0"/>
        <w:keepLines w:val="0"/>
        <w:pageBreakBefore w:val="0"/>
        <w:kinsoku/>
        <w:wordWrap/>
        <w:overflowPunct/>
        <w:topLinePunct w:val="0"/>
        <w:autoSpaceDE/>
        <w:autoSpaceDN/>
        <w:bidi w:val="0"/>
        <w:spacing w:line="600" w:lineRule="exact"/>
        <w:textAlignment w:val="auto"/>
      </w:pP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0" w:leftChars="0" w:firstLine="0" w:firstLineChars="0"/>
        <w:jc w:val="center"/>
        <w:textAlignment w:val="auto"/>
        <w:outlineLvl w:val="0"/>
        <w:rPr>
          <w:rFonts w:hint="default" w:ascii="方正小标宋简体" w:hAnsi="方正小标宋简体" w:eastAsia="方正小标宋简体" w:cs="方正小标宋简体"/>
          <w:sz w:val="44"/>
          <w:szCs w:val="44"/>
          <w:lang w:val="en-US" w:eastAsia="zh-Hans"/>
        </w:rPr>
      </w:pPr>
      <w:r>
        <w:rPr>
          <w:rFonts w:hint="default" w:ascii="方正小标宋简体" w:hAnsi="方正小标宋简体" w:eastAsia="方正小标宋简体" w:cs="方正小标宋简体"/>
          <w:sz w:val="44"/>
          <w:szCs w:val="44"/>
          <w:lang w:val="en-US" w:eastAsia="zh-Hans"/>
        </w:rPr>
        <w:t>财政衔接推进乡村振兴补助金公开</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0" w:leftChars="0" w:firstLine="0" w:firstLineChars="0"/>
        <w:jc w:val="center"/>
        <w:textAlignment w:val="auto"/>
        <w:outlineLvl w:val="0"/>
        <w:rPr>
          <w:rFonts w:hint="default" w:ascii="方正小标宋简体" w:hAnsi="方正小标宋简体" w:eastAsia="方正小标宋简体" w:cs="方正小标宋简体"/>
          <w:sz w:val="44"/>
          <w:szCs w:val="44"/>
          <w:lang w:val="en-US" w:eastAsia="zh-Hans"/>
        </w:rPr>
      </w:pPr>
      <w:r>
        <w:rPr>
          <w:rFonts w:hint="default" w:ascii="方正小标宋简体" w:hAnsi="方正小标宋简体" w:eastAsia="方正小标宋简体" w:cs="方正小标宋简体"/>
          <w:sz w:val="44"/>
          <w:szCs w:val="44"/>
          <w:lang w:val="en-US" w:eastAsia="zh-Hans"/>
        </w:rPr>
        <w:t>情况说明</w:t>
      </w:r>
    </w:p>
    <w:p>
      <w:pPr>
        <w:keepNext w:val="0"/>
        <w:keepLines w:val="0"/>
        <w:pageBreakBefore w:val="0"/>
        <w:widowControl/>
        <w:kinsoku/>
        <w:wordWrap/>
        <w:overflowPunct/>
        <w:topLinePunct w:val="0"/>
        <w:autoSpaceDE w:val="0"/>
        <w:autoSpaceDN w:val="0"/>
        <w:bidi w:val="0"/>
        <w:adjustRightInd/>
        <w:snapToGrid/>
        <w:spacing w:line="560" w:lineRule="exact"/>
        <w:ind w:firstLine="627" w:firstLineChars="200"/>
        <w:jc w:val="left"/>
        <w:textAlignment w:val="auto"/>
        <w:outlineLvl w:val="0"/>
        <w:rPr>
          <w:rFonts w:hint="eastAsia" w:ascii="仿宋" w:hAnsi="仿宋" w:eastAsia="仿宋" w:cs="仿宋"/>
          <w:b/>
          <w:spacing w:val="-4"/>
          <w:sz w:val="32"/>
          <w:szCs w:val="32"/>
          <w:lang w:eastAsia="zh-Hans"/>
        </w:rPr>
      </w:pPr>
    </w:p>
    <w:p>
      <w:pPr>
        <w:keepNext w:val="0"/>
        <w:keepLines w:val="0"/>
        <w:pageBreakBefore w:val="0"/>
        <w:widowControl/>
        <w:kinsoku/>
        <w:wordWrap/>
        <w:overflowPunct/>
        <w:topLinePunct w:val="0"/>
        <w:autoSpaceDE w:val="0"/>
        <w:autoSpaceDN w:val="0"/>
        <w:bidi w:val="0"/>
        <w:adjustRightInd/>
        <w:snapToGrid/>
        <w:spacing w:line="544" w:lineRule="exact"/>
        <w:ind w:firstLine="624" w:firstLineChars="200"/>
        <w:jc w:val="left"/>
        <w:textAlignment w:val="auto"/>
        <w:outlineLvl w:val="0"/>
        <w:rPr>
          <w:rFonts w:hint="eastAsia" w:ascii="黑体" w:hAnsi="黑体" w:eastAsia="黑体" w:cs="黑体"/>
          <w:b w:val="0"/>
          <w:bCs/>
          <w:spacing w:val="-4"/>
          <w:sz w:val="32"/>
          <w:szCs w:val="32"/>
          <w:lang w:eastAsia="zh-Hans"/>
        </w:rPr>
      </w:pPr>
      <w:r>
        <w:rPr>
          <w:rFonts w:hint="eastAsia" w:ascii="黑体" w:hAnsi="黑体" w:eastAsia="黑体" w:cs="黑体"/>
          <w:b w:val="0"/>
          <w:bCs/>
          <w:spacing w:val="-4"/>
          <w:sz w:val="32"/>
          <w:szCs w:val="32"/>
          <w:lang w:eastAsia="zh-Hans"/>
        </w:rPr>
        <w:t>一、财政衔接推进乡村振兴补助资金安排分配情况</w:t>
      </w:r>
    </w:p>
    <w:p>
      <w:pPr>
        <w:keepNext w:val="0"/>
        <w:keepLines w:val="0"/>
        <w:pageBreakBefore w:val="0"/>
        <w:kinsoku/>
        <w:wordWrap/>
        <w:overflowPunct/>
        <w:topLinePunct w:val="0"/>
        <w:bidi w:val="0"/>
        <w:adjustRightInd/>
        <w:snapToGrid/>
        <w:spacing w:line="544"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年下达中央财政衔接推进乡村振兴补助资金388184万元、自治区财政衔接推进乡村振兴补助资金108259万元，合计496443万元，具体分配下达情况如下：</w:t>
      </w:r>
    </w:p>
    <w:p>
      <w:pPr>
        <w:keepNext w:val="0"/>
        <w:keepLines w:val="0"/>
        <w:pageBreakBefore w:val="0"/>
        <w:kinsoku/>
        <w:wordWrap/>
        <w:overflowPunct/>
        <w:topLinePunct w:val="0"/>
        <w:bidi w:val="0"/>
        <w:adjustRightInd/>
        <w:snapToGrid/>
        <w:spacing w:line="544"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下达中央财政衔接推进乡村振兴补助资金339977万元。皮山县53065万元，墨玉县100765万元，和田县54524万元，洛浦县50595万元，策勒县33959万元，于田县48207万元，民丰县10426万元，和田市36643万元。</w:t>
      </w:r>
    </w:p>
    <w:p>
      <w:pPr>
        <w:keepNext w:val="0"/>
        <w:keepLines w:val="0"/>
        <w:pageBreakBefore w:val="0"/>
        <w:kinsoku/>
        <w:wordWrap/>
        <w:overflowPunct/>
        <w:topLinePunct w:val="0"/>
        <w:bidi w:val="0"/>
        <w:adjustRightInd/>
        <w:snapToGrid/>
        <w:spacing w:line="544" w:lineRule="exact"/>
        <w:ind w:firstLine="640" w:firstLineChars="200"/>
        <w:textAlignment w:val="auto"/>
        <w:rPr>
          <w:rFonts w:hint="eastAsia" w:ascii="仿宋_GB2312" w:hAnsi="仿宋_GB2312" w:eastAsia="仿宋_GB2312" w:cs="仿宋_GB2312"/>
          <w:b/>
          <w:spacing w:val="-4"/>
          <w:sz w:val="32"/>
          <w:szCs w:val="32"/>
          <w:lang w:eastAsia="zh-Hans"/>
        </w:rPr>
      </w:pPr>
      <w:r>
        <w:rPr>
          <w:rFonts w:hint="eastAsia" w:ascii="仿宋_GB2312" w:hAnsi="仿宋_GB2312" w:eastAsia="仿宋_GB2312" w:cs="仿宋_GB2312"/>
          <w:kern w:val="0"/>
          <w:sz w:val="32"/>
          <w:szCs w:val="32"/>
        </w:rPr>
        <w:t>下达自治区财政衔接推进乡村振兴补助资金94733万元。皮山县14889万元，墨玉县27078万元，和田县15706万元，洛浦县13526万元，策勒县9375万元，于田县13176万元，民丰县3262万元，和田市11247万元。</w:t>
      </w:r>
    </w:p>
    <w:p>
      <w:pPr>
        <w:keepNext w:val="0"/>
        <w:keepLines w:val="0"/>
        <w:pageBreakBefore w:val="0"/>
        <w:widowControl/>
        <w:kinsoku/>
        <w:wordWrap/>
        <w:overflowPunct/>
        <w:topLinePunct w:val="0"/>
        <w:autoSpaceDE w:val="0"/>
        <w:autoSpaceDN w:val="0"/>
        <w:bidi w:val="0"/>
        <w:adjustRightInd/>
        <w:snapToGrid/>
        <w:spacing w:line="544" w:lineRule="exact"/>
        <w:ind w:firstLine="624" w:firstLineChars="200"/>
        <w:jc w:val="left"/>
        <w:textAlignment w:val="auto"/>
        <w:outlineLvl w:val="0"/>
        <w:rPr>
          <w:rFonts w:hint="eastAsia" w:ascii="黑体" w:hAnsi="黑体" w:eastAsia="黑体" w:cs="黑体"/>
          <w:b w:val="0"/>
          <w:bCs/>
          <w:spacing w:val="-4"/>
          <w:sz w:val="32"/>
          <w:szCs w:val="32"/>
          <w:lang w:eastAsia="zh-Hans"/>
        </w:rPr>
      </w:pPr>
      <w:r>
        <w:rPr>
          <w:rFonts w:hint="eastAsia" w:ascii="黑体" w:hAnsi="黑体" w:eastAsia="黑体" w:cs="黑体"/>
          <w:b w:val="0"/>
          <w:bCs/>
          <w:spacing w:val="-4"/>
          <w:sz w:val="32"/>
          <w:szCs w:val="32"/>
          <w:lang w:eastAsia="zh-Hans"/>
        </w:rPr>
        <w:t>二、财政衔接推进乡村振兴补助资金相关政策办法</w:t>
      </w:r>
    </w:p>
    <w:p>
      <w:pPr>
        <w:keepNext w:val="0"/>
        <w:keepLines w:val="0"/>
        <w:pageBreakBefore w:val="0"/>
        <w:kinsoku/>
        <w:wordWrap/>
        <w:overflowPunct/>
        <w:topLinePunct w:val="0"/>
        <w:bidi w:val="0"/>
        <w:adjustRightInd/>
        <w:snapToGrid/>
        <w:spacing w:line="544" w:lineRule="exact"/>
        <w:ind w:firstLine="640"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依据《新疆维吾尔自治区财政衔接推进乡村振兴补助资金管理办法》（新财规〔2021〕11号）、《自治区继续支持脱贫县统筹整合使用财政涉农资金工作的实施细则》（新财规〔2021〕7号）两个文件。在2021年9月2日印发《关于印发&lt;和田地区财政衔接推进乡村振兴补助资金管理实施细则&gt;等的通知》(和地财农〔2021〕34号)，同时在和田政府网公示，公示的2个细则如下：</w:t>
      </w:r>
    </w:p>
    <w:p>
      <w:pPr>
        <w:keepNext w:val="0"/>
        <w:keepLines w:val="0"/>
        <w:pageBreakBefore w:val="0"/>
        <w:widowControl/>
        <w:kinsoku/>
        <w:wordWrap/>
        <w:overflowPunct/>
        <w:topLinePunct w:val="0"/>
        <w:autoSpaceDE w:val="0"/>
        <w:autoSpaceDN w:val="0"/>
        <w:bidi w:val="0"/>
        <w:adjustRightInd/>
        <w:snapToGrid/>
        <w:spacing w:line="560" w:lineRule="exact"/>
        <w:ind w:left="0" w:leftChars="0" w:firstLine="0" w:firstLineChars="0"/>
        <w:textAlignment w:val="auto"/>
        <w:outlineLvl w:val="0"/>
        <w:rPr>
          <w:rFonts w:hint="eastAsia" w:ascii="黑体" w:hAnsi="黑体" w:eastAsia="黑体" w:cs="黑体"/>
          <w:b/>
          <w:spacing w:val="-4"/>
          <w:sz w:val="32"/>
          <w:szCs w:val="32"/>
        </w:rPr>
      </w:pPr>
      <w:r>
        <w:rPr>
          <w:rFonts w:hint="eastAsia" w:ascii="黑体" w:hAnsi="黑体" w:eastAsia="黑体" w:cs="黑体"/>
          <w:b/>
          <w:spacing w:val="-4"/>
          <w:sz w:val="32"/>
          <w:szCs w:val="32"/>
        </w:rPr>
        <w:t>附件1：</w:t>
      </w:r>
    </w:p>
    <w:p>
      <w:pPr>
        <w:keepNext w:val="0"/>
        <w:keepLines w:val="0"/>
        <w:pageBreakBefore w:val="0"/>
        <w:widowControl/>
        <w:kinsoku/>
        <w:wordWrap/>
        <w:overflowPunct/>
        <w:topLinePunct w:val="0"/>
        <w:autoSpaceDE w:val="0"/>
        <w:autoSpaceDN w:val="0"/>
        <w:bidi w:val="0"/>
        <w:adjustRightInd/>
        <w:snapToGrid/>
        <w:spacing w:line="600" w:lineRule="exact"/>
        <w:ind w:firstLine="627" w:firstLineChars="200"/>
        <w:jc w:val="center"/>
        <w:textAlignment w:val="auto"/>
        <w:outlineLvl w:val="0"/>
        <w:rPr>
          <w:rFonts w:hint="eastAsia" w:ascii="仿宋" w:hAnsi="仿宋" w:eastAsia="仿宋" w:cs="仿宋"/>
          <w:b/>
          <w:spacing w:val="-4"/>
          <w:sz w:val="32"/>
          <w:szCs w:val="32"/>
        </w:rPr>
      </w:pPr>
    </w:p>
    <w:p>
      <w:pPr>
        <w:keepNext w:val="0"/>
        <w:keepLines w:val="0"/>
        <w:pageBreakBefore w:val="0"/>
        <w:widowControl/>
        <w:kinsoku/>
        <w:wordWrap/>
        <w:overflowPunct/>
        <w:topLinePunct w:val="0"/>
        <w:autoSpaceDE w:val="0"/>
        <w:autoSpaceDN w:val="0"/>
        <w:bidi w:val="0"/>
        <w:adjustRightInd/>
        <w:snapToGrid/>
        <w:spacing w:line="600" w:lineRule="exact"/>
        <w:jc w:val="center"/>
        <w:textAlignment w:val="auto"/>
        <w:outlineLvl w:val="0"/>
        <w:rPr>
          <w:rFonts w:hint="eastAsia" w:ascii="方正小标宋简体" w:hAnsi="方正小标宋简体" w:eastAsia="方正小标宋简体" w:cs="方正小标宋简体"/>
          <w:b w:val="0"/>
          <w:bCs/>
          <w:spacing w:val="-4"/>
          <w:sz w:val="44"/>
          <w:szCs w:val="44"/>
        </w:rPr>
      </w:pPr>
      <w:r>
        <w:rPr>
          <w:rFonts w:hint="eastAsia" w:ascii="方正小标宋简体" w:hAnsi="方正小标宋简体" w:eastAsia="方正小标宋简体" w:cs="方正小标宋简体"/>
          <w:b w:val="0"/>
          <w:bCs/>
          <w:spacing w:val="-4"/>
          <w:sz w:val="44"/>
          <w:szCs w:val="44"/>
        </w:rPr>
        <w:t>《</w:t>
      </w:r>
      <w:r>
        <w:rPr>
          <w:rFonts w:hint="eastAsia" w:ascii="方正小标宋简体" w:hAnsi="方正小标宋简体" w:eastAsia="方正小标宋简体" w:cs="方正小标宋简体"/>
          <w:b w:val="0"/>
          <w:bCs/>
          <w:spacing w:val="-4"/>
          <w:sz w:val="44"/>
          <w:szCs w:val="44"/>
          <w:lang w:eastAsia="zh-Hans"/>
        </w:rPr>
        <w:t>和田地区财政衔接推进乡村振兴补助资金</w:t>
      </w:r>
      <w:r>
        <w:rPr>
          <w:rFonts w:hint="eastAsia" w:ascii="方正小标宋简体" w:hAnsi="方正小标宋简体" w:eastAsia="方正小标宋简体" w:cs="方正小标宋简体"/>
          <w:b w:val="0"/>
          <w:bCs/>
          <w:spacing w:val="-4"/>
          <w:sz w:val="44"/>
          <w:szCs w:val="44"/>
        </w:rPr>
        <w:t>管理</w:t>
      </w:r>
      <w:r>
        <w:rPr>
          <w:rFonts w:hint="eastAsia" w:ascii="方正小标宋简体" w:hAnsi="方正小标宋简体" w:eastAsia="方正小标宋简体" w:cs="方正小标宋简体"/>
          <w:b w:val="0"/>
          <w:bCs/>
          <w:spacing w:val="-4"/>
          <w:sz w:val="44"/>
          <w:szCs w:val="44"/>
          <w:lang w:eastAsia="zh-Hans"/>
        </w:rPr>
        <w:t>实施细则</w:t>
      </w:r>
      <w:r>
        <w:rPr>
          <w:rFonts w:hint="eastAsia" w:ascii="方正小标宋简体" w:hAnsi="方正小标宋简体" w:eastAsia="方正小标宋简体" w:cs="方正小标宋简体"/>
          <w:b w:val="0"/>
          <w:bCs/>
          <w:spacing w:val="-4"/>
          <w:sz w:val="44"/>
          <w:szCs w:val="44"/>
        </w:rPr>
        <w:t>》</w:t>
      </w:r>
    </w:p>
    <w:p>
      <w:pPr>
        <w:spacing w:line="600" w:lineRule="exact"/>
        <w:jc w:val="center"/>
        <w:rPr>
          <w:rFonts w:hint="eastAsia" w:ascii="宋体" w:hAnsi="宋体" w:cs="宋体"/>
          <w:b/>
          <w:bCs/>
          <w:kern w:val="0"/>
          <w:sz w:val="44"/>
          <w:szCs w:val="36"/>
        </w:rPr>
      </w:pPr>
    </w:p>
    <w:p>
      <w:pPr>
        <w:spacing w:line="600" w:lineRule="exact"/>
        <w:jc w:val="center"/>
        <w:rPr>
          <w:rFonts w:hint="eastAsia" w:ascii="黑体" w:hAnsi="黑体" w:eastAsia="黑体" w:cs="黑体"/>
          <w:b w:val="0"/>
          <w:bCs/>
          <w:kern w:val="0"/>
          <w:sz w:val="32"/>
          <w:szCs w:val="32"/>
        </w:rPr>
      </w:pPr>
      <w:r>
        <w:rPr>
          <w:rFonts w:hint="eastAsia" w:ascii="黑体" w:hAnsi="黑体" w:eastAsia="黑体" w:cs="黑体"/>
          <w:b w:val="0"/>
          <w:bCs/>
          <w:kern w:val="0"/>
          <w:sz w:val="32"/>
          <w:szCs w:val="32"/>
        </w:rPr>
        <w:t>第一章  总则</w:t>
      </w:r>
    </w:p>
    <w:p>
      <w:pPr>
        <w:spacing w:line="600" w:lineRule="exact"/>
        <w:ind w:firstLine="640" w:firstLineChars="200"/>
        <w:rPr>
          <w:rFonts w:hint="eastAsia" w:ascii="仿宋" w:hAnsi="仿宋" w:eastAsia="仿宋" w:cs="仿宋"/>
          <w:kern w:val="0"/>
          <w:sz w:val="32"/>
          <w:szCs w:val="32"/>
        </w:rPr>
      </w:pPr>
      <w:r>
        <w:rPr>
          <w:rFonts w:hint="eastAsia" w:ascii="楷体" w:hAnsi="楷体" w:eastAsia="楷体" w:cs="楷体"/>
          <w:b w:val="0"/>
          <w:bCs/>
          <w:kern w:val="0"/>
          <w:sz w:val="32"/>
          <w:szCs w:val="32"/>
        </w:rPr>
        <w:t>第一条</w:t>
      </w:r>
      <w:r>
        <w:rPr>
          <w:rFonts w:hint="eastAsia" w:ascii="仿宋" w:hAnsi="仿宋" w:eastAsia="仿宋" w:cs="仿宋"/>
          <w:kern w:val="0"/>
          <w:sz w:val="32"/>
          <w:szCs w:val="32"/>
        </w:rPr>
        <w:t xml:space="preserve"> 贯彻党中央、国务院关于实现巩固拓展脱贫攻坚成果同乡村振兴有效衔接的决策部署，落实《中华人民共和国预算法》《中央财政衔接推进乡村振兴补助资金管理办法》等有关规定</w:t>
      </w:r>
      <w:r>
        <w:rPr>
          <w:rFonts w:hint="eastAsia" w:ascii="仿宋" w:hAnsi="仿宋" w:eastAsia="仿宋" w:cs="仿宋"/>
          <w:snapToGrid w:val="0"/>
          <w:spacing w:val="6"/>
          <w:kern w:val="0"/>
          <w:sz w:val="32"/>
          <w:szCs w:val="32"/>
        </w:rPr>
        <w:t>,加强过渡期财政衔接推进乡村振兴补助资金（以下简称衔接资金）管理，根据</w:t>
      </w:r>
      <w:r>
        <w:rPr>
          <w:rFonts w:hint="eastAsia" w:ascii="仿宋" w:hAnsi="仿宋" w:eastAsia="仿宋" w:cs="仿宋"/>
          <w:sz w:val="32"/>
          <w:szCs w:val="32"/>
        </w:rPr>
        <w:t>自治区财政厅、乡村振兴局、发改委等6厅局委《关于印发&lt;新疆维吾尔自治区财政衔接推进乡村振兴补助资金管理办法&gt;的通知》（新财规〔2021〕11号）</w:t>
      </w:r>
      <w:r>
        <w:rPr>
          <w:rFonts w:hint="eastAsia" w:ascii="仿宋" w:hAnsi="仿宋" w:eastAsia="仿宋" w:cs="仿宋"/>
          <w:snapToGrid w:val="0"/>
          <w:spacing w:val="6"/>
          <w:kern w:val="0"/>
          <w:sz w:val="32"/>
          <w:szCs w:val="32"/>
        </w:rPr>
        <w:t>，</w:t>
      </w:r>
      <w:r>
        <w:rPr>
          <w:rFonts w:hint="eastAsia" w:ascii="仿宋" w:hAnsi="仿宋" w:eastAsia="仿宋" w:cs="仿宋"/>
          <w:kern w:val="0"/>
          <w:sz w:val="32"/>
          <w:szCs w:val="32"/>
        </w:rPr>
        <w:t>结合和田地区实际</w:t>
      </w:r>
      <w:r>
        <w:rPr>
          <w:rFonts w:hint="eastAsia" w:ascii="仿宋" w:hAnsi="仿宋" w:eastAsia="仿宋" w:cs="仿宋"/>
          <w:snapToGrid w:val="0"/>
          <w:spacing w:val="6"/>
          <w:kern w:val="0"/>
          <w:sz w:val="32"/>
          <w:szCs w:val="32"/>
        </w:rPr>
        <w:t>,</w:t>
      </w:r>
      <w:r>
        <w:rPr>
          <w:rFonts w:hint="eastAsia" w:ascii="仿宋" w:hAnsi="仿宋" w:eastAsia="仿宋" w:cs="仿宋"/>
          <w:kern w:val="0"/>
          <w:sz w:val="32"/>
          <w:szCs w:val="32"/>
        </w:rPr>
        <w:t>制定本实施细则。</w:t>
      </w:r>
    </w:p>
    <w:p>
      <w:pPr>
        <w:snapToGrid w:val="0"/>
        <w:spacing w:line="600" w:lineRule="exact"/>
        <w:ind w:firstLine="640" w:firstLineChars="200"/>
        <w:rPr>
          <w:rFonts w:hint="eastAsia" w:ascii="仿宋" w:hAnsi="仿宋" w:eastAsia="仿宋" w:cs="仿宋"/>
          <w:kern w:val="0"/>
          <w:sz w:val="32"/>
          <w:szCs w:val="32"/>
        </w:rPr>
      </w:pPr>
      <w:r>
        <w:rPr>
          <w:rFonts w:hint="eastAsia" w:ascii="楷体" w:hAnsi="楷体" w:eastAsia="楷体" w:cs="楷体"/>
          <w:b w:val="0"/>
          <w:bCs/>
          <w:kern w:val="0"/>
          <w:sz w:val="32"/>
          <w:szCs w:val="32"/>
        </w:rPr>
        <w:t>第二条</w:t>
      </w:r>
      <w:r>
        <w:rPr>
          <w:rFonts w:hint="eastAsia" w:ascii="仿宋" w:hAnsi="仿宋" w:eastAsia="仿宋" w:cs="仿宋"/>
          <w:kern w:val="0"/>
          <w:sz w:val="32"/>
          <w:szCs w:val="32"/>
        </w:rPr>
        <w:t xml:space="preserve"> 本实施细则所称衔接资金是指中央、自治区、地区、县市通过财政公共预算安排，用于支持本地巩固拓展脱贫攻坚成果同推进乡村振兴有效衔接的资金。</w:t>
      </w:r>
    </w:p>
    <w:p>
      <w:pPr>
        <w:spacing w:line="600" w:lineRule="exact"/>
        <w:jc w:val="center"/>
        <w:rPr>
          <w:rFonts w:hint="eastAsia" w:ascii="黑体" w:hAnsi="黑体" w:eastAsia="黑体" w:cs="黑体"/>
          <w:b w:val="0"/>
          <w:bCs/>
          <w:kern w:val="0"/>
          <w:sz w:val="32"/>
          <w:szCs w:val="32"/>
        </w:rPr>
      </w:pPr>
      <w:r>
        <w:rPr>
          <w:rFonts w:hint="eastAsia" w:ascii="黑体" w:hAnsi="黑体" w:eastAsia="黑体" w:cs="黑体"/>
          <w:b w:val="0"/>
          <w:bCs/>
          <w:kern w:val="0"/>
          <w:sz w:val="32"/>
          <w:szCs w:val="32"/>
        </w:rPr>
        <w:t>第二章  资金使用</w:t>
      </w:r>
    </w:p>
    <w:p>
      <w:pPr>
        <w:ind w:firstLine="640" w:firstLineChars="200"/>
        <w:rPr>
          <w:rFonts w:hint="eastAsia" w:ascii="仿宋" w:hAnsi="仿宋" w:eastAsia="仿宋" w:cs="仿宋"/>
          <w:sz w:val="32"/>
          <w:szCs w:val="32"/>
        </w:rPr>
      </w:pPr>
      <w:r>
        <w:rPr>
          <w:rFonts w:hint="eastAsia" w:ascii="楷体" w:hAnsi="楷体" w:eastAsia="楷体" w:cs="楷体"/>
          <w:b w:val="0"/>
          <w:bCs/>
          <w:kern w:val="0"/>
          <w:sz w:val="32"/>
          <w:szCs w:val="32"/>
        </w:rPr>
        <w:t>第三条</w:t>
      </w:r>
      <w:r>
        <w:rPr>
          <w:rFonts w:hint="eastAsia" w:ascii="仿宋" w:hAnsi="仿宋" w:eastAsia="仿宋" w:cs="仿宋"/>
          <w:sz w:val="32"/>
          <w:szCs w:val="32"/>
        </w:rPr>
        <w:t xml:space="preserve"> 衔接资金应当统筹安排使用，形成合力，主要用于支持以下三个方面：</w:t>
      </w:r>
    </w:p>
    <w:p>
      <w:pPr>
        <w:snapToGrid w:val="0"/>
        <w:spacing w:line="600" w:lineRule="exact"/>
        <w:ind w:firstLine="640" w:firstLineChars="200"/>
        <w:rPr>
          <w:rFonts w:hint="eastAsia" w:ascii="楷体" w:hAnsi="楷体" w:eastAsia="楷体" w:cs="楷体"/>
          <w:b w:val="0"/>
          <w:bCs/>
          <w:kern w:val="0"/>
          <w:sz w:val="32"/>
          <w:szCs w:val="32"/>
        </w:rPr>
      </w:pPr>
      <w:r>
        <w:rPr>
          <w:rFonts w:hint="eastAsia" w:ascii="楷体" w:hAnsi="楷体" w:eastAsia="楷体" w:cs="楷体"/>
          <w:b w:val="0"/>
          <w:bCs/>
          <w:kern w:val="0"/>
          <w:sz w:val="32"/>
          <w:szCs w:val="32"/>
        </w:rPr>
        <w:t>（一）支持巩固拓展脱贫攻坚成果。</w:t>
      </w:r>
    </w:p>
    <w:p>
      <w:pPr>
        <w:snapToGrid w:val="0"/>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健全防止返贫致贫监测和帮扶机制，加强监测预警，强化及时帮扶，对监测帮扶对象采取有针对性的预防性措施和事后帮扶措施。可安排产业发展、小额信贷贴息、生产经营</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公益岗位补助等支出。低保、医保、养老保险、临时救助等综合保障措施，通过原资金渠道支持。监测预警工作经费通过各级部门预算安排。</w:t>
      </w:r>
    </w:p>
    <w:p>
      <w:pPr>
        <w:snapToGrid w:val="0"/>
        <w:spacing w:line="600" w:lineRule="exact"/>
        <w:ind w:firstLine="640" w:firstLineChars="200"/>
        <w:rPr>
          <w:rFonts w:hint="eastAsia" w:ascii="楷体" w:hAnsi="楷体" w:eastAsia="楷体" w:cs="楷体"/>
          <w:b w:val="0"/>
          <w:bCs/>
          <w:kern w:val="0"/>
          <w:sz w:val="32"/>
          <w:szCs w:val="32"/>
        </w:rPr>
      </w:pPr>
      <w:r>
        <w:rPr>
          <w:rFonts w:hint="eastAsia" w:ascii="楷体" w:hAnsi="楷体" w:eastAsia="楷体" w:cs="楷体"/>
          <w:b w:val="0"/>
          <w:bCs/>
          <w:kern w:val="0"/>
          <w:sz w:val="32"/>
          <w:szCs w:val="32"/>
        </w:rPr>
        <w:t>（二）支持衔接推进乡村振兴。</w:t>
      </w:r>
    </w:p>
    <w:p>
      <w:pPr>
        <w:snapToGrid w:val="0"/>
        <w:spacing w:line="600" w:lineRule="exact"/>
        <w:ind w:firstLine="643" w:firstLineChars="200"/>
        <w:rPr>
          <w:rFonts w:hint="eastAsia" w:ascii="仿宋" w:hAnsi="仿宋" w:eastAsia="仿宋" w:cs="仿宋"/>
          <w:kern w:val="0"/>
          <w:sz w:val="32"/>
          <w:szCs w:val="32"/>
        </w:rPr>
      </w:pPr>
      <w:r>
        <w:rPr>
          <w:rFonts w:hint="eastAsia" w:ascii="仿宋" w:hAnsi="仿宋" w:eastAsia="仿宋" w:cs="仿宋"/>
          <w:b/>
          <w:bCs/>
          <w:kern w:val="0"/>
          <w:sz w:val="32"/>
          <w:szCs w:val="32"/>
        </w:rPr>
        <w:t>1.培育和壮大脱贫地区特色优势产业。</w:t>
      </w:r>
      <w:r>
        <w:rPr>
          <w:rFonts w:hint="eastAsia" w:ascii="仿宋" w:hAnsi="仿宋" w:eastAsia="仿宋" w:cs="仿宋"/>
          <w:kern w:val="0"/>
          <w:sz w:val="32"/>
          <w:szCs w:val="32"/>
        </w:rPr>
        <w:t>年度到县市的中央衔接资金原则上不低于50%用于支持特色产业发展，并逐年提高资金占比。支持农业品种培优、品质提升、品牌打造。推动产销对接和消费帮扶，解决农产品“卖难”问题。支持必要的产业配套基础设施建设。支持脱贫村发展壮大村级集体经济和支持欠发达国有农牧林场发展国有经济。</w:t>
      </w:r>
    </w:p>
    <w:p>
      <w:pPr>
        <w:snapToGrid w:val="0"/>
        <w:spacing w:line="600" w:lineRule="exact"/>
        <w:ind w:firstLine="643" w:firstLineChars="200"/>
        <w:rPr>
          <w:rFonts w:hint="eastAsia" w:ascii="仿宋" w:hAnsi="仿宋" w:eastAsia="仿宋" w:cs="仿宋"/>
          <w:kern w:val="0"/>
          <w:sz w:val="32"/>
          <w:szCs w:val="32"/>
        </w:rPr>
      </w:pPr>
      <w:r>
        <w:rPr>
          <w:rFonts w:hint="eastAsia" w:ascii="仿宋" w:hAnsi="仿宋" w:eastAsia="仿宋" w:cs="仿宋"/>
          <w:b/>
          <w:bCs/>
          <w:kern w:val="0"/>
          <w:sz w:val="32"/>
          <w:szCs w:val="32"/>
        </w:rPr>
        <w:t>2.补齐必要的农村人居环境整治和小型公益性基础设施建设短板。</w:t>
      </w:r>
      <w:r>
        <w:rPr>
          <w:rFonts w:hint="eastAsia" w:ascii="仿宋" w:hAnsi="仿宋" w:eastAsia="仿宋" w:cs="仿宋"/>
          <w:kern w:val="0"/>
          <w:sz w:val="32"/>
          <w:szCs w:val="32"/>
        </w:rPr>
        <w:t>主要包括水、电、路、网等农业生产配套设施，小型公益性生活设施，住房加固节能改造等。教育、卫生、养老服务、文化等农村基本公共服务通过原资金渠道支持。</w:t>
      </w:r>
    </w:p>
    <w:p>
      <w:pPr>
        <w:snapToGrid w:val="0"/>
        <w:spacing w:line="600" w:lineRule="exact"/>
        <w:ind w:firstLine="643" w:firstLineChars="200"/>
        <w:rPr>
          <w:rFonts w:hint="eastAsia" w:ascii="仿宋" w:hAnsi="仿宋" w:eastAsia="仿宋" w:cs="仿宋"/>
          <w:kern w:val="0"/>
          <w:sz w:val="32"/>
          <w:szCs w:val="32"/>
        </w:rPr>
      </w:pPr>
      <w:r>
        <w:rPr>
          <w:rFonts w:hint="eastAsia" w:ascii="仿宋" w:hAnsi="仿宋" w:eastAsia="仿宋" w:cs="仿宋"/>
          <w:b/>
          <w:bCs/>
          <w:kern w:val="0"/>
          <w:sz w:val="32"/>
          <w:szCs w:val="32"/>
        </w:rPr>
        <w:t>3.确保衔接资金完成实施兴边富民行动、</w:t>
      </w:r>
      <w:r>
        <w:rPr>
          <w:rFonts w:hint="eastAsia" w:ascii="仿宋" w:hAnsi="仿宋" w:eastAsia="仿宋" w:cs="仿宋"/>
          <w:kern w:val="0"/>
          <w:sz w:val="32"/>
          <w:szCs w:val="32"/>
        </w:rPr>
        <w:t>人口较少民族发展、少数民族特色产业和民族村寨发展、以工代赈项目，欠发达国有农牧林场专项任务。</w:t>
      </w:r>
    </w:p>
    <w:p>
      <w:pPr>
        <w:snapToGrid w:val="0"/>
        <w:spacing w:line="600" w:lineRule="exact"/>
        <w:ind w:firstLine="640" w:firstLineChars="200"/>
        <w:rPr>
          <w:rFonts w:hint="eastAsia" w:ascii="楷体" w:hAnsi="楷体" w:eastAsia="楷体" w:cs="楷体"/>
          <w:b w:val="0"/>
          <w:bCs/>
          <w:kern w:val="0"/>
          <w:sz w:val="32"/>
          <w:szCs w:val="32"/>
        </w:rPr>
      </w:pPr>
      <w:r>
        <w:rPr>
          <w:rFonts w:hint="eastAsia" w:ascii="楷体" w:hAnsi="楷体" w:eastAsia="楷体" w:cs="楷体"/>
          <w:b w:val="0"/>
          <w:bCs/>
          <w:kern w:val="0"/>
          <w:sz w:val="32"/>
          <w:szCs w:val="32"/>
        </w:rPr>
        <w:t>（三）符合巩固拓展脱贫攻坚成果同乡村振兴有效衔接的其他相关支出。</w:t>
      </w:r>
    </w:p>
    <w:p>
      <w:pPr>
        <w:snapToGrid w:val="0"/>
        <w:spacing w:line="600" w:lineRule="exact"/>
        <w:ind w:firstLine="640" w:firstLineChars="200"/>
        <w:rPr>
          <w:rFonts w:hint="eastAsia" w:ascii="仿宋" w:hAnsi="仿宋" w:eastAsia="仿宋" w:cs="仿宋"/>
          <w:kern w:val="0"/>
          <w:sz w:val="32"/>
          <w:szCs w:val="32"/>
        </w:rPr>
      </w:pPr>
      <w:r>
        <w:rPr>
          <w:rFonts w:hint="eastAsia" w:ascii="楷体" w:hAnsi="楷体" w:eastAsia="楷体" w:cs="楷体"/>
          <w:b w:val="0"/>
          <w:bCs/>
          <w:kern w:val="0"/>
          <w:sz w:val="32"/>
          <w:szCs w:val="32"/>
        </w:rPr>
        <w:t>第四条</w:t>
      </w:r>
      <w:r>
        <w:rPr>
          <w:rFonts w:hint="eastAsia" w:ascii="仿宋" w:hAnsi="仿宋" w:eastAsia="仿宋" w:cs="仿宋"/>
          <w:kern w:val="0"/>
          <w:sz w:val="32"/>
          <w:szCs w:val="32"/>
        </w:rPr>
        <w:t xml:space="preserve"> 衔接资金不得用于与巩固拓展脱贫攻坚成果和推进脱贫地区乡村振兴无关的支出。包括：</w:t>
      </w:r>
    </w:p>
    <w:p>
      <w:pPr>
        <w:snapToGrid w:val="0"/>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1.单位基本支出；</w:t>
      </w:r>
    </w:p>
    <w:p>
      <w:pPr>
        <w:snapToGrid w:val="0"/>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2.交通工具及通讯设备；</w:t>
      </w:r>
    </w:p>
    <w:p>
      <w:pPr>
        <w:snapToGrid w:val="0"/>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3.修建楼堂馆所；</w:t>
      </w:r>
    </w:p>
    <w:p>
      <w:pPr>
        <w:snapToGrid w:val="0"/>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4.各种奖金津贴和福利补助；</w:t>
      </w:r>
    </w:p>
    <w:p>
      <w:pPr>
        <w:snapToGrid w:val="0"/>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5.偿还债务和垫资；</w:t>
      </w:r>
    </w:p>
    <w:p>
      <w:pPr>
        <w:snapToGrid w:val="0"/>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6.弥补企业亏损；</w:t>
      </w:r>
    </w:p>
    <w:p>
      <w:pPr>
        <w:snapToGrid w:val="0"/>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7.城市基础设施建设；</w:t>
      </w:r>
    </w:p>
    <w:p>
      <w:pPr>
        <w:snapToGrid w:val="0"/>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8.</w:t>
      </w:r>
      <w:r>
        <w:rPr>
          <w:rFonts w:hint="eastAsia" w:ascii="仿宋" w:hAnsi="仿宋" w:eastAsia="仿宋" w:cs="仿宋"/>
          <w:color w:val="000000"/>
          <w:kern w:val="0"/>
          <w:sz w:val="32"/>
          <w:szCs w:val="32"/>
        </w:rPr>
        <w:t>其他与巩固拓展脱贫攻坚成果同乡村振兴无关的支出。</w:t>
      </w:r>
    </w:p>
    <w:p>
      <w:pPr>
        <w:spacing w:line="600" w:lineRule="exact"/>
        <w:jc w:val="center"/>
        <w:rPr>
          <w:rFonts w:hint="eastAsia" w:ascii="黑体" w:hAnsi="黑体" w:eastAsia="黑体" w:cs="黑体"/>
          <w:b w:val="0"/>
          <w:bCs/>
          <w:kern w:val="0"/>
          <w:sz w:val="32"/>
          <w:szCs w:val="32"/>
        </w:rPr>
      </w:pPr>
      <w:r>
        <w:rPr>
          <w:rFonts w:hint="eastAsia" w:ascii="黑体" w:hAnsi="黑体" w:eastAsia="黑体" w:cs="黑体"/>
          <w:b w:val="0"/>
          <w:bCs/>
          <w:kern w:val="0"/>
          <w:sz w:val="32"/>
          <w:szCs w:val="32"/>
        </w:rPr>
        <w:t>第三章  资金管理</w:t>
      </w:r>
    </w:p>
    <w:p>
      <w:pPr>
        <w:snapToGrid w:val="0"/>
        <w:spacing w:line="600" w:lineRule="exact"/>
        <w:ind w:firstLine="627" w:firstLineChars="196"/>
        <w:jc w:val="left"/>
        <w:rPr>
          <w:rFonts w:hint="eastAsia" w:ascii="仿宋" w:hAnsi="仿宋" w:eastAsia="仿宋" w:cs="仿宋"/>
          <w:kern w:val="0"/>
          <w:sz w:val="32"/>
          <w:szCs w:val="32"/>
        </w:rPr>
      </w:pPr>
      <w:r>
        <w:rPr>
          <w:rFonts w:hint="eastAsia" w:ascii="楷体" w:hAnsi="楷体" w:eastAsia="楷体" w:cs="楷体"/>
          <w:b w:val="0"/>
          <w:bCs/>
          <w:kern w:val="0"/>
          <w:sz w:val="32"/>
          <w:szCs w:val="32"/>
        </w:rPr>
        <w:t xml:space="preserve">第五条 </w:t>
      </w:r>
      <w:r>
        <w:rPr>
          <w:rFonts w:hint="eastAsia" w:ascii="仿宋" w:hAnsi="仿宋" w:eastAsia="仿宋" w:cs="仿宋"/>
          <w:kern w:val="0"/>
          <w:sz w:val="32"/>
          <w:szCs w:val="32"/>
        </w:rPr>
        <w:t>各级财政部门要根据巩固拓展脱贫攻坚成果同乡村振兴有效衔接的任务需要及财力情况，每年预算安排一定规模的本级衔接资金，保持投入力度总体稳定。</w:t>
      </w:r>
    </w:p>
    <w:p>
      <w:pPr>
        <w:snapToGrid w:val="0"/>
        <w:spacing w:line="600" w:lineRule="exact"/>
        <w:ind w:firstLine="640" w:firstLineChars="200"/>
        <w:rPr>
          <w:rFonts w:hint="eastAsia" w:ascii="仿宋" w:hAnsi="仿宋" w:eastAsia="仿宋" w:cs="仿宋"/>
          <w:kern w:val="0"/>
          <w:sz w:val="32"/>
          <w:szCs w:val="32"/>
        </w:rPr>
      </w:pPr>
      <w:r>
        <w:rPr>
          <w:rFonts w:hint="eastAsia" w:ascii="楷体" w:hAnsi="楷体" w:eastAsia="楷体" w:cs="楷体"/>
          <w:b w:val="0"/>
          <w:bCs/>
          <w:kern w:val="0"/>
          <w:sz w:val="32"/>
          <w:szCs w:val="32"/>
        </w:rPr>
        <w:t>第六条</w:t>
      </w:r>
      <w:r>
        <w:rPr>
          <w:rFonts w:hint="eastAsia" w:ascii="仿宋" w:hAnsi="仿宋" w:eastAsia="仿宋" w:cs="仿宋"/>
          <w:kern w:val="0"/>
          <w:sz w:val="32"/>
          <w:szCs w:val="32"/>
        </w:rPr>
        <w:t xml:space="preserve"> 衔接资金安排应综合考虑脱贫县市规模和分布，兼顾脱贫县市和非贫困县市的实际情况，对国家和自治区乡村振兴重点帮扶县予以倾斜。衔接资金项目审批权限下放到县市，强化县市管理责任，县市可统筹安排不超过30%的到县市衔接资金，支持非贫困村发展产业、补齐必要的基础设施短板及县市乡村振兴规划相关项目。</w:t>
      </w:r>
    </w:p>
    <w:p>
      <w:pPr>
        <w:snapToGrid w:val="0"/>
        <w:spacing w:line="600" w:lineRule="exact"/>
        <w:ind w:firstLine="640" w:firstLineChars="200"/>
        <w:rPr>
          <w:rFonts w:hint="eastAsia" w:ascii="仿宋" w:hAnsi="仿宋" w:eastAsia="仿宋" w:cs="仿宋"/>
          <w:kern w:val="0"/>
          <w:sz w:val="32"/>
          <w:szCs w:val="32"/>
        </w:rPr>
      </w:pPr>
      <w:r>
        <w:rPr>
          <w:rFonts w:hint="eastAsia" w:ascii="楷体" w:hAnsi="楷体" w:eastAsia="楷体" w:cs="楷体"/>
          <w:b w:val="0"/>
          <w:bCs/>
          <w:kern w:val="0"/>
          <w:sz w:val="32"/>
          <w:szCs w:val="32"/>
        </w:rPr>
        <w:t>第七条</w:t>
      </w:r>
      <w:r>
        <w:rPr>
          <w:rFonts w:hint="eastAsia" w:ascii="仿宋" w:hAnsi="仿宋" w:eastAsia="仿宋" w:cs="仿宋"/>
          <w:b/>
          <w:kern w:val="0"/>
          <w:sz w:val="32"/>
          <w:szCs w:val="32"/>
        </w:rPr>
        <w:t xml:space="preserve"> </w:t>
      </w:r>
      <w:r>
        <w:rPr>
          <w:rFonts w:hint="eastAsia" w:ascii="仿宋" w:hAnsi="仿宋" w:eastAsia="仿宋" w:cs="仿宋"/>
          <w:kern w:val="0"/>
          <w:sz w:val="32"/>
          <w:szCs w:val="32"/>
        </w:rPr>
        <w:t>各县市要建立完善巩固拓展脱贫攻坚成果和乡村振兴项目库，提前做好项目储备，严格项目论证入库，衔接资金支持的项目原则上要从项目库选择，且符合本办法要求。属于政府采购管理范围的项目，执行政府采购相关规定。村微小型项目可按照村民民主议事方式直接委托村组织自建自营。各县市行业主管部门要加强衔接资金和项目管理，落实绩效管理要求，全面推行公开公示制度，加快预算执行，提高资金使用效益。</w:t>
      </w:r>
    </w:p>
    <w:p>
      <w:pPr>
        <w:snapToGrid w:val="0"/>
        <w:spacing w:line="600" w:lineRule="exact"/>
        <w:ind w:firstLine="640" w:firstLineChars="200"/>
        <w:rPr>
          <w:rFonts w:hint="eastAsia" w:ascii="仿宋" w:hAnsi="仿宋" w:eastAsia="仿宋" w:cs="仿宋"/>
          <w:kern w:val="0"/>
          <w:sz w:val="32"/>
          <w:szCs w:val="32"/>
        </w:rPr>
      </w:pPr>
      <w:r>
        <w:rPr>
          <w:rFonts w:hint="eastAsia" w:ascii="楷体" w:hAnsi="楷体" w:eastAsia="楷体" w:cs="楷体"/>
          <w:b w:val="0"/>
          <w:bCs/>
          <w:kern w:val="0"/>
          <w:sz w:val="32"/>
          <w:szCs w:val="32"/>
        </w:rPr>
        <w:t>第八条</w:t>
      </w:r>
      <w:r>
        <w:rPr>
          <w:rFonts w:hint="eastAsia" w:ascii="仿宋" w:hAnsi="仿宋" w:eastAsia="仿宋" w:cs="仿宋"/>
          <w:b/>
          <w:kern w:val="0"/>
          <w:sz w:val="32"/>
          <w:szCs w:val="32"/>
        </w:rPr>
        <w:t xml:space="preserve"> </w:t>
      </w:r>
      <w:r>
        <w:rPr>
          <w:rFonts w:hint="eastAsia" w:ascii="仿宋" w:hAnsi="仿宋" w:eastAsia="仿宋" w:cs="仿宋"/>
          <w:kern w:val="0"/>
          <w:sz w:val="32"/>
          <w:szCs w:val="32"/>
        </w:rPr>
        <w:t>各县市可根据衔接资金项目管理工作需要，从衔接资金中，按最高不超过1%的比例据实列支项目管理费。项目管理费主要用于项目前期设计、评审、招标、监理以及验收等与项目管理相关的支出。</w:t>
      </w:r>
    </w:p>
    <w:p>
      <w:pPr>
        <w:snapToGrid w:val="0"/>
        <w:spacing w:line="600" w:lineRule="exact"/>
        <w:ind w:firstLine="640" w:firstLineChars="200"/>
        <w:rPr>
          <w:rFonts w:hint="eastAsia" w:ascii="仿宋" w:hAnsi="仿宋" w:eastAsia="仿宋" w:cs="仿宋"/>
          <w:kern w:val="0"/>
          <w:sz w:val="32"/>
          <w:szCs w:val="32"/>
        </w:rPr>
      </w:pPr>
      <w:r>
        <w:rPr>
          <w:rFonts w:hint="eastAsia" w:ascii="楷体" w:hAnsi="楷体" w:eastAsia="楷体" w:cs="楷体"/>
          <w:b w:val="0"/>
          <w:bCs/>
          <w:kern w:val="0"/>
          <w:sz w:val="32"/>
          <w:szCs w:val="32"/>
        </w:rPr>
        <w:t>第九条</w:t>
      </w:r>
      <w:r>
        <w:rPr>
          <w:rFonts w:hint="eastAsia" w:ascii="仿宋" w:hAnsi="仿宋" w:eastAsia="仿宋" w:cs="仿宋"/>
          <w:b/>
          <w:kern w:val="0"/>
          <w:sz w:val="32"/>
          <w:szCs w:val="32"/>
        </w:rPr>
        <w:t xml:space="preserve"> </w:t>
      </w:r>
      <w:r>
        <w:rPr>
          <w:rFonts w:hint="eastAsia" w:ascii="仿宋" w:hAnsi="仿宋" w:eastAsia="仿宋" w:cs="仿宋"/>
          <w:kern w:val="0"/>
          <w:sz w:val="32"/>
          <w:szCs w:val="32"/>
        </w:rPr>
        <w:t>各县市财政部门负责预算安排、审核资金分配建议方案和下达资金，会同各级乡村振兴、发展改革、民委、农业农村、林草等行业主管部门（以下简称行业主管部门）加强资金监管和绩效管理。各行业主管部门负责提出资金分配建议方案、资金和项目使用管理、绩效管理、监督管理等工作，按照权责对等原则落实监管责任。</w:t>
      </w:r>
    </w:p>
    <w:p>
      <w:pPr>
        <w:snapToGrid w:val="0"/>
        <w:spacing w:line="600" w:lineRule="exact"/>
        <w:ind w:firstLine="640" w:firstLineChars="200"/>
        <w:rPr>
          <w:rFonts w:hint="eastAsia" w:ascii="仿宋" w:hAnsi="仿宋" w:eastAsia="仿宋" w:cs="仿宋"/>
          <w:kern w:val="0"/>
          <w:sz w:val="32"/>
          <w:szCs w:val="32"/>
        </w:rPr>
      </w:pPr>
      <w:r>
        <w:rPr>
          <w:rFonts w:hint="eastAsia" w:ascii="楷体" w:hAnsi="楷体" w:eastAsia="楷体" w:cs="楷体"/>
          <w:b w:val="0"/>
          <w:bCs/>
          <w:kern w:val="0"/>
          <w:sz w:val="32"/>
          <w:szCs w:val="32"/>
        </w:rPr>
        <w:t>第十条</w:t>
      </w:r>
      <w:r>
        <w:rPr>
          <w:rFonts w:hint="eastAsia" w:ascii="仿宋" w:hAnsi="仿宋" w:eastAsia="仿宋" w:cs="仿宋"/>
          <w:kern w:val="0"/>
          <w:sz w:val="32"/>
          <w:szCs w:val="32"/>
        </w:rPr>
        <w:t xml:space="preserve"> 地区财政部门在收到资金文件后，要及时书面通知同级行业主管部门，在5日内将指标或资金及时下达到有关县市。县市财政部门在收到资金文件后，要及时书面通知同级行业主管部门，并由县市行业主管部门会同财政部门根据年度巩固拓展脱贫攻坚成果同乡村振兴有效衔接工作任务，从项目库中遴选项目,及时拟定年度项目计划或资金使用方案，并逐级上报行业主管部门备案。</w:t>
      </w:r>
    </w:p>
    <w:p>
      <w:pPr>
        <w:snapToGrid w:val="0"/>
        <w:spacing w:line="600" w:lineRule="exact"/>
        <w:ind w:firstLine="640" w:firstLineChars="200"/>
        <w:rPr>
          <w:rFonts w:hint="eastAsia" w:ascii="仿宋" w:hAnsi="仿宋" w:eastAsia="仿宋" w:cs="仿宋"/>
          <w:kern w:val="0"/>
          <w:sz w:val="32"/>
          <w:szCs w:val="32"/>
        </w:rPr>
      </w:pPr>
      <w:r>
        <w:rPr>
          <w:rFonts w:hint="eastAsia" w:ascii="楷体" w:hAnsi="楷体" w:eastAsia="楷体" w:cs="楷体"/>
          <w:b w:val="0"/>
          <w:bCs/>
          <w:kern w:val="0"/>
          <w:sz w:val="32"/>
          <w:szCs w:val="32"/>
        </w:rPr>
        <w:t>第十一条</w:t>
      </w:r>
      <w:r>
        <w:rPr>
          <w:rFonts w:hint="eastAsia" w:ascii="仿宋" w:hAnsi="仿宋" w:eastAsia="仿宋" w:cs="仿宋"/>
          <w:b/>
          <w:kern w:val="0"/>
          <w:sz w:val="32"/>
          <w:szCs w:val="32"/>
        </w:rPr>
        <w:t xml:space="preserve"> </w:t>
      </w:r>
      <w:r>
        <w:rPr>
          <w:rFonts w:hint="eastAsia" w:ascii="仿宋" w:hAnsi="仿宋" w:eastAsia="仿宋" w:cs="仿宋"/>
          <w:kern w:val="0"/>
          <w:sz w:val="32"/>
          <w:szCs w:val="32"/>
        </w:rPr>
        <w:t>地、县财政部门按照工作职责和工作要求，对衔接资金使用管理情况进行监管。地、县财政和行业主管部门按要求配合审计、</w:t>
      </w:r>
      <w:r>
        <w:rPr>
          <w:rFonts w:hint="eastAsia" w:ascii="仿宋" w:hAnsi="仿宋" w:eastAsia="仿宋" w:cs="仿宋"/>
          <w:kern w:val="0"/>
          <w:sz w:val="32"/>
          <w:szCs w:val="32"/>
          <w:lang w:eastAsia="zh-CN"/>
        </w:rPr>
        <w:t>相关部门</w:t>
      </w:r>
      <w:r>
        <w:rPr>
          <w:rFonts w:hint="eastAsia" w:ascii="仿宋" w:hAnsi="仿宋" w:eastAsia="仿宋" w:cs="仿宋"/>
          <w:kern w:val="0"/>
          <w:sz w:val="32"/>
          <w:szCs w:val="32"/>
        </w:rPr>
        <w:t>做好衔接资金和项目的审计、检查等工作。</w:t>
      </w:r>
    </w:p>
    <w:p>
      <w:pPr>
        <w:snapToGrid w:val="0"/>
        <w:spacing w:line="600" w:lineRule="exact"/>
        <w:ind w:firstLine="640" w:firstLineChars="200"/>
        <w:rPr>
          <w:rFonts w:hint="eastAsia" w:ascii="仿宋" w:hAnsi="仿宋" w:eastAsia="仿宋" w:cs="仿宋"/>
          <w:kern w:val="0"/>
          <w:sz w:val="32"/>
          <w:szCs w:val="32"/>
        </w:rPr>
      </w:pPr>
      <w:r>
        <w:rPr>
          <w:rFonts w:hint="eastAsia" w:ascii="楷体" w:hAnsi="楷体" w:eastAsia="楷体" w:cs="楷体"/>
          <w:b w:val="0"/>
          <w:bCs/>
          <w:kern w:val="0"/>
          <w:sz w:val="32"/>
          <w:szCs w:val="32"/>
        </w:rPr>
        <w:t>第十二条</w:t>
      </w:r>
      <w:r>
        <w:rPr>
          <w:rFonts w:hint="eastAsia" w:ascii="仿宋" w:hAnsi="仿宋" w:eastAsia="仿宋" w:cs="仿宋"/>
          <w:kern w:val="0"/>
          <w:sz w:val="32"/>
          <w:szCs w:val="32"/>
        </w:rPr>
        <w:t xml:space="preserve"> 衔接资金实行国库集中支付管理。地、县财政部门应当按照国库集中支付制度的有关规定和政府采购程序,及时办理资金拨付手续。县市行业主管部门根据项目的实际情况,可采取工程竣工决算后一次性支付或按工程进度分批次申请支付项目资金。经县市行业主管部门出具审核意见后,县市财政部门可预付部分项目启动资金,比例由县市根据实际自行确定。预付资金在项目资金支付时抵扣。预付资金总额合计原则上不超过应付该项目资金总额的50%，其中：基础建设类项目预付资金原则上不超过合同金额的30%。</w:t>
      </w:r>
      <w:r>
        <w:rPr>
          <w:rFonts w:hint="eastAsia" w:ascii="仿宋" w:hAnsi="仿宋" w:eastAsia="仿宋" w:cs="仿宋"/>
          <w:sz w:val="32"/>
          <w:szCs w:val="32"/>
        </w:rPr>
        <w:t>项目资金支付后,在审计或检查中发现资金使用存在违法违规问题的，应及时追回、收回。</w:t>
      </w:r>
    </w:p>
    <w:p>
      <w:pPr>
        <w:snapToGrid w:val="0"/>
        <w:spacing w:line="600" w:lineRule="exact"/>
        <w:ind w:firstLine="640" w:firstLineChars="200"/>
        <w:rPr>
          <w:rFonts w:hint="eastAsia" w:ascii="仿宋" w:hAnsi="仿宋" w:eastAsia="仿宋" w:cs="仿宋"/>
          <w:kern w:val="0"/>
          <w:sz w:val="32"/>
          <w:szCs w:val="32"/>
        </w:rPr>
      </w:pPr>
      <w:r>
        <w:rPr>
          <w:rFonts w:hint="eastAsia" w:ascii="楷体" w:hAnsi="楷体" w:eastAsia="楷体" w:cs="楷体"/>
          <w:b w:val="0"/>
          <w:bCs/>
          <w:kern w:val="0"/>
          <w:sz w:val="32"/>
          <w:szCs w:val="32"/>
        </w:rPr>
        <w:t>第十三条</w:t>
      </w:r>
      <w:r>
        <w:rPr>
          <w:rFonts w:hint="eastAsia" w:ascii="仿宋" w:hAnsi="仿宋" w:eastAsia="仿宋" w:cs="仿宋"/>
          <w:kern w:val="0"/>
          <w:sz w:val="32"/>
          <w:szCs w:val="32"/>
        </w:rPr>
        <w:t xml:space="preserve"> 各县市衔接资金执行进度纳入自治区、地区衔接资金绩效考评内容，严禁虚列支出、以拨代支虚增预算执行进度。各县市要定期清理盘活历年结转结余资金，上年结转结余资金按照自治区关于结转结余资金管理的相关规定执行。</w:t>
      </w:r>
    </w:p>
    <w:p>
      <w:pPr>
        <w:snapToGrid w:val="0"/>
        <w:spacing w:line="600" w:lineRule="exact"/>
        <w:ind w:firstLine="640" w:firstLineChars="200"/>
        <w:rPr>
          <w:rFonts w:hint="eastAsia" w:ascii="仿宋" w:hAnsi="仿宋" w:eastAsia="仿宋" w:cs="仿宋"/>
          <w:kern w:val="0"/>
          <w:sz w:val="32"/>
          <w:szCs w:val="32"/>
        </w:rPr>
      </w:pPr>
      <w:r>
        <w:rPr>
          <w:rFonts w:hint="eastAsia" w:ascii="楷体" w:hAnsi="楷体" w:eastAsia="楷体" w:cs="楷体"/>
          <w:b w:val="0"/>
          <w:bCs/>
          <w:kern w:val="0"/>
          <w:sz w:val="32"/>
          <w:szCs w:val="32"/>
        </w:rPr>
        <w:t>第十四条</w:t>
      </w:r>
      <w:r>
        <w:rPr>
          <w:rFonts w:hint="eastAsia" w:ascii="仿宋" w:hAnsi="仿宋" w:eastAsia="仿宋" w:cs="仿宋"/>
          <w:kern w:val="0"/>
          <w:sz w:val="32"/>
          <w:szCs w:val="32"/>
        </w:rPr>
        <w:t xml:space="preserve"> 继续按规定开展统筹整合使用财政涉农资金试点工作的脱贫县市，衔接资金使用按照涉农资金统筹整合有关要求执行。</w:t>
      </w:r>
    </w:p>
    <w:p>
      <w:pPr>
        <w:snapToGrid w:val="0"/>
        <w:spacing w:line="600" w:lineRule="exact"/>
        <w:ind w:firstLine="640" w:firstLineChars="200"/>
        <w:rPr>
          <w:rFonts w:hint="eastAsia" w:ascii="仿宋" w:hAnsi="仿宋" w:eastAsia="仿宋" w:cs="仿宋"/>
          <w:kern w:val="0"/>
          <w:sz w:val="32"/>
          <w:szCs w:val="32"/>
          <w:lang w:eastAsia="zh-CN"/>
        </w:rPr>
      </w:pPr>
      <w:r>
        <w:rPr>
          <w:rFonts w:hint="eastAsia" w:ascii="楷体" w:hAnsi="楷体" w:eastAsia="楷体" w:cs="楷体"/>
          <w:b w:val="0"/>
          <w:bCs/>
          <w:kern w:val="0"/>
          <w:sz w:val="32"/>
          <w:szCs w:val="32"/>
        </w:rPr>
        <w:t>第十五条</w:t>
      </w:r>
      <w:r>
        <w:rPr>
          <w:rFonts w:hint="eastAsia" w:ascii="仿宋" w:hAnsi="仿宋" w:eastAsia="仿宋" w:cs="仿宋"/>
          <w:kern w:val="0"/>
          <w:sz w:val="32"/>
          <w:szCs w:val="32"/>
        </w:rPr>
        <w:t xml:space="preserve"> 地、县财政和行业主管部门及其工作人员在衔接资金分配、使用管理等工作中，存在违反本办法规定，以及滥用职权、玩忽职守、徇私舞弊等违法违纪行为的，按照国家有关规定追究相应责任</w:t>
      </w:r>
      <w:r>
        <w:rPr>
          <w:rFonts w:hint="eastAsia" w:ascii="仿宋" w:hAnsi="仿宋" w:eastAsia="仿宋" w:cs="仿宋"/>
          <w:kern w:val="0"/>
          <w:sz w:val="32"/>
          <w:szCs w:val="32"/>
          <w:lang w:eastAsia="zh-CN"/>
        </w:rPr>
        <w:t>。</w:t>
      </w:r>
    </w:p>
    <w:p>
      <w:pPr>
        <w:spacing w:line="600" w:lineRule="exact"/>
        <w:jc w:val="center"/>
        <w:rPr>
          <w:rFonts w:hint="eastAsia" w:ascii="黑体" w:hAnsi="黑体" w:eastAsia="黑体" w:cs="黑体"/>
          <w:b/>
          <w:kern w:val="0"/>
          <w:sz w:val="32"/>
          <w:szCs w:val="32"/>
        </w:rPr>
      </w:pPr>
      <w:r>
        <w:rPr>
          <w:rFonts w:hint="eastAsia" w:ascii="黑体" w:hAnsi="黑体" w:eastAsia="黑体" w:cs="黑体"/>
          <w:b w:val="0"/>
          <w:bCs/>
          <w:kern w:val="0"/>
          <w:sz w:val="32"/>
          <w:szCs w:val="32"/>
        </w:rPr>
        <w:t>第四章  附则</w:t>
      </w:r>
    </w:p>
    <w:p>
      <w:pPr>
        <w:snapToGrid w:val="0"/>
        <w:spacing w:line="600" w:lineRule="exact"/>
        <w:ind w:firstLine="640" w:firstLineChars="200"/>
        <w:rPr>
          <w:rFonts w:hint="eastAsia" w:ascii="仿宋" w:hAnsi="仿宋" w:eastAsia="仿宋" w:cs="仿宋"/>
          <w:color w:val="000000" w:themeColor="text1"/>
          <w:kern w:val="0"/>
          <w:sz w:val="32"/>
          <w:szCs w:val="32"/>
          <w14:textFill>
            <w14:solidFill>
              <w14:schemeClr w14:val="tx1"/>
            </w14:solidFill>
          </w14:textFill>
        </w:rPr>
      </w:pPr>
      <w:r>
        <w:rPr>
          <w:rFonts w:hint="eastAsia" w:ascii="楷体" w:hAnsi="楷体" w:eastAsia="楷体" w:cs="楷体"/>
          <w:b w:val="0"/>
          <w:bCs/>
          <w:kern w:val="0"/>
          <w:sz w:val="32"/>
          <w:szCs w:val="32"/>
        </w:rPr>
        <w:t>第十六条</w:t>
      </w:r>
      <w:r>
        <w:rPr>
          <w:rFonts w:hint="eastAsia" w:ascii="仿宋" w:hAnsi="仿宋" w:eastAsia="仿宋" w:cs="仿宋"/>
          <w:b/>
          <w:color w:val="FF0000"/>
          <w:kern w:val="0"/>
          <w:sz w:val="32"/>
          <w:szCs w:val="32"/>
        </w:rPr>
        <w:t xml:space="preserve"> </w:t>
      </w:r>
      <w:r>
        <w:rPr>
          <w:rFonts w:hint="eastAsia" w:ascii="仿宋" w:hAnsi="仿宋" w:eastAsia="仿宋" w:cs="仿宋"/>
          <w:color w:val="000000" w:themeColor="text1"/>
          <w:kern w:val="0"/>
          <w:sz w:val="32"/>
          <w:szCs w:val="32"/>
          <w14:textFill>
            <w14:solidFill>
              <w14:schemeClr w14:val="tx1"/>
            </w14:solidFill>
          </w14:textFill>
        </w:rPr>
        <w:t>各县市乡村振兴领导小组可根据本办法，统筹协调相关部门制定本县市实施细则，报地区相关部门备案。</w:t>
      </w:r>
    </w:p>
    <w:p>
      <w:pPr>
        <w:pStyle w:val="3"/>
        <w:spacing w:before="0" w:beforeAutospacing="0" w:after="0" w:afterAutospacing="0" w:line="600" w:lineRule="exact"/>
        <w:ind w:firstLine="640" w:firstLineChars="200"/>
        <w:jc w:val="both"/>
        <w:rPr>
          <w:rFonts w:hint="eastAsia" w:ascii="仿宋" w:hAnsi="仿宋" w:eastAsia="仿宋" w:cs="仿宋"/>
          <w:color w:val="000000" w:themeColor="text1"/>
          <w:sz w:val="32"/>
          <w:szCs w:val="32"/>
          <w14:textFill>
            <w14:solidFill>
              <w14:schemeClr w14:val="tx1"/>
            </w14:solidFill>
          </w14:textFill>
        </w:rPr>
      </w:pPr>
      <w:r>
        <w:rPr>
          <w:rFonts w:hint="eastAsia" w:ascii="楷体" w:hAnsi="楷体" w:eastAsia="楷体" w:cs="楷体"/>
          <w:b w:val="0"/>
          <w:bCs/>
          <w:snapToGrid/>
          <w:color w:val="000000" w:themeColor="text1"/>
          <w:spacing w:val="0"/>
          <w:kern w:val="0"/>
          <w:sz w:val="32"/>
          <w:szCs w:val="32"/>
          <w:lang w:val="en-US" w:eastAsia="zh-CN" w:bidi="ar-SA"/>
          <w14:textFill>
            <w14:solidFill>
              <w14:schemeClr w14:val="tx1"/>
            </w14:solidFill>
          </w14:textFill>
        </w:rPr>
        <w:t>第十七条</w:t>
      </w:r>
      <w:r>
        <w:rPr>
          <w:rFonts w:hint="eastAsia" w:ascii="仿宋" w:hAnsi="仿宋" w:eastAsia="仿宋" w:cs="仿宋"/>
          <w:color w:val="000000" w:themeColor="text1"/>
          <w:sz w:val="32"/>
          <w:szCs w:val="32"/>
          <w14:textFill>
            <w14:solidFill>
              <w14:schemeClr w14:val="tx1"/>
            </w14:solidFill>
          </w14:textFill>
        </w:rPr>
        <w:t xml:space="preserve"> 本办法自2021年9月10日起施行，由地区财政局会同行业主管部门负责解释。地区其他有关财政专项扶贫资金管理的制度、办法及规定与本办法不符的，执行本办法。</w:t>
      </w:r>
    </w:p>
    <w:p>
      <w:pPr>
        <w:pStyle w:val="3"/>
        <w:spacing w:before="0" w:beforeAutospacing="0" w:after="0" w:afterAutospacing="0" w:line="600" w:lineRule="exact"/>
        <w:ind w:firstLine="664" w:firstLineChars="200"/>
        <w:jc w:val="both"/>
        <w:rPr>
          <w:rFonts w:hint="eastAsia" w:ascii="仿宋" w:hAnsi="仿宋" w:eastAsia="仿宋" w:cs="仿宋"/>
          <w:sz w:val="32"/>
          <w:szCs w:val="32"/>
        </w:rPr>
      </w:pPr>
    </w:p>
    <w:p>
      <w:pPr>
        <w:pStyle w:val="3"/>
        <w:spacing w:before="0" w:beforeAutospacing="0" w:after="0" w:afterAutospacing="0" w:line="600" w:lineRule="exact"/>
        <w:ind w:firstLine="664" w:firstLineChars="200"/>
        <w:jc w:val="both"/>
        <w:rPr>
          <w:rFonts w:hint="eastAsia" w:ascii="仿宋" w:hAnsi="仿宋" w:eastAsia="仿宋" w:cs="仿宋"/>
          <w:sz w:val="32"/>
          <w:szCs w:val="32"/>
        </w:rPr>
      </w:pPr>
    </w:p>
    <w:p>
      <w:pPr>
        <w:pStyle w:val="3"/>
        <w:spacing w:before="0" w:beforeAutospacing="0" w:after="0" w:afterAutospacing="0" w:line="600" w:lineRule="exact"/>
        <w:ind w:firstLine="664" w:firstLineChars="200"/>
        <w:jc w:val="both"/>
        <w:rPr>
          <w:rFonts w:hint="eastAsia" w:ascii="仿宋" w:hAnsi="仿宋" w:eastAsia="仿宋" w:cs="仿宋"/>
          <w:sz w:val="32"/>
          <w:szCs w:val="32"/>
        </w:rPr>
      </w:pPr>
    </w:p>
    <w:p>
      <w:pPr>
        <w:pStyle w:val="3"/>
        <w:spacing w:before="0" w:beforeAutospacing="0" w:after="0" w:afterAutospacing="0" w:line="600" w:lineRule="exact"/>
        <w:ind w:firstLine="664" w:firstLineChars="200"/>
        <w:jc w:val="both"/>
        <w:rPr>
          <w:rFonts w:hint="eastAsia" w:ascii="仿宋" w:hAnsi="仿宋" w:eastAsia="仿宋" w:cs="仿宋"/>
          <w:sz w:val="32"/>
          <w:szCs w:val="32"/>
        </w:rPr>
      </w:pPr>
    </w:p>
    <w:p>
      <w:pPr>
        <w:pStyle w:val="3"/>
        <w:spacing w:before="0" w:beforeAutospacing="0" w:after="0" w:afterAutospacing="0" w:line="600" w:lineRule="exact"/>
        <w:ind w:firstLine="664" w:firstLineChars="200"/>
        <w:jc w:val="both"/>
        <w:rPr>
          <w:rFonts w:hint="eastAsia" w:ascii="仿宋" w:hAnsi="仿宋" w:eastAsia="仿宋" w:cs="仿宋"/>
          <w:sz w:val="32"/>
          <w:szCs w:val="32"/>
        </w:rPr>
      </w:pPr>
    </w:p>
    <w:p>
      <w:pPr>
        <w:pStyle w:val="3"/>
        <w:spacing w:before="0" w:beforeAutospacing="0" w:after="0" w:afterAutospacing="0" w:line="600" w:lineRule="exact"/>
        <w:ind w:firstLine="664" w:firstLineChars="200"/>
        <w:jc w:val="both"/>
        <w:rPr>
          <w:rFonts w:hint="eastAsia" w:ascii="仿宋" w:hAnsi="仿宋" w:eastAsia="仿宋" w:cs="仿宋"/>
          <w:sz w:val="32"/>
          <w:szCs w:val="32"/>
        </w:rPr>
      </w:pPr>
    </w:p>
    <w:p>
      <w:pPr>
        <w:pStyle w:val="3"/>
        <w:spacing w:before="0" w:beforeAutospacing="0" w:after="0" w:afterAutospacing="0" w:line="600" w:lineRule="exact"/>
        <w:ind w:firstLine="664" w:firstLineChars="200"/>
        <w:jc w:val="both"/>
        <w:rPr>
          <w:rFonts w:hint="eastAsia" w:ascii="仿宋" w:hAnsi="仿宋" w:eastAsia="仿宋" w:cs="仿宋"/>
          <w:sz w:val="32"/>
          <w:szCs w:val="32"/>
        </w:rPr>
      </w:pPr>
    </w:p>
    <w:p>
      <w:pPr>
        <w:widowControl/>
        <w:autoSpaceDE w:val="0"/>
        <w:autoSpaceDN w:val="0"/>
        <w:spacing w:line="360" w:lineRule="auto"/>
        <w:outlineLvl w:val="0"/>
        <w:rPr>
          <w:rFonts w:hint="eastAsia" w:ascii="黑体" w:hAnsi="黑体" w:eastAsia="黑体" w:cs="黑体"/>
          <w:b/>
          <w:spacing w:val="-4"/>
          <w:sz w:val="32"/>
          <w:szCs w:val="32"/>
        </w:rPr>
      </w:pPr>
      <w:r>
        <w:rPr>
          <w:rFonts w:hint="eastAsia" w:ascii="黑体" w:hAnsi="黑体" w:eastAsia="黑体" w:cs="黑体"/>
          <w:b/>
          <w:spacing w:val="-4"/>
          <w:sz w:val="32"/>
          <w:szCs w:val="32"/>
        </w:rPr>
        <w:t>附件2：</w:t>
      </w:r>
    </w:p>
    <w:p>
      <w:pPr>
        <w:keepNext w:val="0"/>
        <w:keepLines w:val="0"/>
        <w:pageBreakBefore w:val="0"/>
        <w:widowControl/>
        <w:kinsoku/>
        <w:wordWrap/>
        <w:overflowPunct/>
        <w:topLinePunct w:val="0"/>
        <w:autoSpaceDE w:val="0"/>
        <w:autoSpaceDN w:val="0"/>
        <w:bidi w:val="0"/>
        <w:adjustRightInd/>
        <w:snapToGrid/>
        <w:spacing w:line="600" w:lineRule="exact"/>
        <w:ind w:firstLine="864" w:firstLineChars="200"/>
        <w:jc w:val="center"/>
        <w:textAlignment w:val="auto"/>
        <w:outlineLvl w:val="0"/>
        <w:rPr>
          <w:rFonts w:hint="eastAsia" w:ascii="方正小标宋简体" w:hAnsi="方正小标宋简体" w:eastAsia="方正小标宋简体" w:cs="方正小标宋简体"/>
          <w:b w:val="0"/>
          <w:bCs/>
          <w:spacing w:val="-4"/>
          <w:sz w:val="44"/>
          <w:szCs w:val="44"/>
        </w:rPr>
      </w:pPr>
    </w:p>
    <w:p>
      <w:pPr>
        <w:keepNext w:val="0"/>
        <w:keepLines w:val="0"/>
        <w:pageBreakBefore w:val="0"/>
        <w:widowControl/>
        <w:kinsoku/>
        <w:wordWrap/>
        <w:overflowPunct/>
        <w:topLinePunct w:val="0"/>
        <w:autoSpaceDE w:val="0"/>
        <w:autoSpaceDN w:val="0"/>
        <w:bidi w:val="0"/>
        <w:adjustRightInd/>
        <w:snapToGrid/>
        <w:spacing w:line="600" w:lineRule="exact"/>
        <w:ind w:firstLine="864" w:firstLineChars="200"/>
        <w:jc w:val="center"/>
        <w:textAlignment w:val="auto"/>
        <w:outlineLvl w:val="0"/>
        <w:rPr>
          <w:rFonts w:hint="eastAsia" w:ascii="方正小标宋简体" w:hAnsi="方正小标宋简体" w:eastAsia="方正小标宋简体" w:cs="方正小标宋简体"/>
          <w:b w:val="0"/>
          <w:bCs/>
          <w:spacing w:val="-4"/>
          <w:sz w:val="44"/>
          <w:szCs w:val="44"/>
        </w:rPr>
      </w:pPr>
      <w:r>
        <w:rPr>
          <w:rFonts w:hint="eastAsia" w:ascii="方正小标宋简体" w:hAnsi="方正小标宋简体" w:eastAsia="方正小标宋简体" w:cs="方正小标宋简体"/>
          <w:b w:val="0"/>
          <w:bCs/>
          <w:spacing w:val="-4"/>
          <w:sz w:val="44"/>
          <w:szCs w:val="44"/>
          <w:lang w:eastAsia="zh-Hans"/>
        </w:rPr>
        <w:t>和田地区继续支持脱贫县统筹整合使用财政涉农资金</w:t>
      </w:r>
      <w:r>
        <w:rPr>
          <w:rFonts w:hint="eastAsia" w:ascii="方正小标宋简体" w:hAnsi="方正小标宋简体" w:eastAsia="方正小标宋简体" w:cs="方正小标宋简体"/>
          <w:b w:val="0"/>
          <w:bCs/>
          <w:spacing w:val="-4"/>
          <w:sz w:val="44"/>
          <w:szCs w:val="44"/>
        </w:rPr>
        <w:t>工</w:t>
      </w:r>
      <w:r>
        <w:rPr>
          <w:rFonts w:hint="eastAsia" w:ascii="方正小标宋简体" w:hAnsi="方正小标宋简体" w:eastAsia="方正小标宋简体" w:cs="方正小标宋简体"/>
          <w:b w:val="0"/>
          <w:bCs/>
          <w:spacing w:val="-4"/>
          <w:sz w:val="44"/>
          <w:szCs w:val="44"/>
          <w:lang w:eastAsia="zh-Hans"/>
        </w:rPr>
        <w:t>作的实施细则</w:t>
      </w:r>
    </w:p>
    <w:p>
      <w:pPr>
        <w:ind w:firstLine="640" w:firstLineChars="200"/>
        <w:rPr>
          <w:rFonts w:hint="eastAsia" w:ascii="仿宋_GB2312" w:hAnsi="仿宋_GB2312" w:eastAsia="仿宋_GB2312"/>
          <w:sz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为实现和田地区巩固拓展脱贫攻坚成果同乡村振兴有效衔接，按照自治区财政厅、发改委、乡村振兴局等12厅局委《关于印发&lt;自治区继续支持脱贫县统筹整合使用财政涉农资金工作的实施细则&gt;的通知》（新财规〔2021〕7号）要求，就脱贫县延续执行统筹整合使用财政涉农资金（以下统称整合资金）有关事项要求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rPr>
      </w:pPr>
      <w:r>
        <w:rPr>
          <w:rFonts w:hint="eastAsia" w:ascii="黑体" w:hAnsi="黑体" w:eastAsia="黑体" w:cs="黑体"/>
          <w:b/>
          <w:bCs/>
          <w:sz w:val="32"/>
        </w:rPr>
        <w:t>一、整合试点范围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2021-2023年，在脱贫县延续整合试点政策。2024-2025年，整合试点政策实施范围调整至中央确定的国家乡村振兴重点帮扶县，确保平稳过渡。和田地区脱贫县市共8个，为：民丰县、和田县、墨玉县、皮山县、洛浦县、策勒县、于田县、和田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纳入整合试点范围的资金包括各级财政安排用于农业生产发展和农村基础设施建设等方面的资金，具体资金名称及支出方向以自治区要求为准。教育、医疗、卫生等社会事业方面资金 ，也要结合巩固拓展脱贫攻坚成果和乡村振兴任务，突出重点，集中投入，形成合力。</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rPr>
      </w:pPr>
      <w:r>
        <w:rPr>
          <w:rFonts w:hint="eastAsia" w:ascii="黑体" w:hAnsi="黑体" w:eastAsia="黑体" w:cs="黑体"/>
          <w:b/>
          <w:bCs/>
          <w:sz w:val="32"/>
        </w:rPr>
        <w:t>二、整合资金安排使用重点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脱贫县市根据巩固拓展脱贫攻坚成果和乡村振兴的需要，按规定将整合资金用于农业生产、畜牧生产、水利发展、林业改革发展、农田建设、农村综合改革、林业草原生态保护恢复、农村环境整治、农村道路建设、农村危房改造、农业资源及生态保护、乡村旅游等农业生产发展和农村基础设施项目，在整合资金范围内打通，统筹安排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脱贫县要将支持产业发展摆在优先位置，发展壮大脱贫地区优势特色产业（含必要的产业配套基础设施），促进产业提质增效，带动脱贫人口就业增收。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脱贫县要严肃财经纪律，切实防范和化解风险隐患，整合资金不得用的范围：</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单位基本支出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修建楼堂馆所</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偿还债务</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垫资或回购</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注资企业</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设立基金</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购买各类保险</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购买交通工具及通讯设备</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发放各种奖金津贴和福利补助等</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其他与巩固拓展脱贫攻坚成果同乡村振兴无关的支出。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rPr>
      </w:pPr>
      <w:r>
        <w:rPr>
          <w:rFonts w:hint="eastAsia" w:ascii="黑体" w:hAnsi="黑体" w:eastAsia="黑体" w:cs="黑体"/>
          <w:b/>
          <w:bCs/>
          <w:sz w:val="32"/>
        </w:rPr>
        <w:t>三、资金倾斜支持要求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地区财政要在保持投入总体稳定的基础上，继续按政策要求向符合条件的脱贫县倾斜。资金倾斜支持可按以下两种方式核算。地区在上年的基础上统筹加大对脱贫县市支持力度。纳入直达资金等其他资金，需同时满足整合资金和直达资金等管理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rPr>
      </w:pPr>
      <w:r>
        <w:rPr>
          <w:rFonts w:hint="eastAsia" w:ascii="黑体" w:hAnsi="黑体" w:eastAsia="黑体" w:cs="黑体"/>
          <w:b/>
          <w:bCs/>
          <w:sz w:val="32"/>
        </w:rPr>
        <w:t>四、资金的下达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地区财政部门收到自治区下达资金文件后，5日内分配下达到县市或地区本级项目实施单位。县财政部门在收到资金文件3日内，完整准确地记录预算指标和整合资金台账。各县市要做好年度实施方案报备、资金台账记录和项目组织实施等工作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rPr>
      </w:pPr>
      <w:r>
        <w:rPr>
          <w:rFonts w:hint="eastAsia" w:ascii="黑体" w:hAnsi="黑体" w:eastAsia="黑体" w:cs="黑体"/>
          <w:b/>
          <w:bCs/>
          <w:sz w:val="32"/>
        </w:rPr>
        <w:t>五、实施方案的报备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脱贫县市要健全完善巩固拓展脱贫攻坚成果和乡村振兴项目库，整合资金支持的项目原则上从项目库中选择，做好项目储备，科学设定绩效目标，严格项目论证入库。鼓励整合资金优先安排用于既有利于巩固拓展脱贫攻坚成果、又有利于完成行业发展任务的项目，凝聚支持合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脱贫县市根据“三农”工作方针政策、本地巩固拓展脱贫攻坚成果和乡村振兴确定的任务和相关行业规划等，按照 “因需而整”原则，编制年度整合资金实施方案，汇总填报按照自治区要求，确定好重点项目和建设任务，兼顾脱贫村和其他村、脱贫户和其他户，因地制宜统筹安排和管好用好整合资金。整合方案要详实具体，分项目明确建设任务、补助标准、资金规模、资金来源、时间进度、责任单位、绩效目标等事项，做到可操作、可考核。整合方案由县市逐级上报至自治区乡村振兴局。有关部门和地方不得干扰脱贫县市按规定使用整合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地区乡村振兴部门在收到脱贫县市整合方案后，组织相关部门按照工作职责对县市报备的整合方案联合会审，将修改意见汇总后，组织脱贫县市修改完善实施方案。县市将修改完善后的整合方案于每年3月24日前逐级向自治区乡村振兴领导小组备案</w:t>
      </w:r>
      <w:r>
        <w:rPr>
          <w:rFonts w:hint="eastAsia" w:ascii="仿宋" w:hAnsi="仿宋" w:eastAsia="仿宋" w:cs="仿宋"/>
          <w:sz w:val="32"/>
          <w:lang w:eastAsia="zh-CN"/>
        </w:rPr>
        <w:t>，</w:t>
      </w:r>
      <w:r>
        <w:rPr>
          <w:rFonts w:hint="eastAsia" w:ascii="仿宋" w:hAnsi="仿宋" w:eastAsia="仿宋" w:cs="仿宋"/>
          <w:sz w:val="32"/>
        </w:rPr>
        <w:t>地区乡村振兴局按规定，及时向自治区相关部门上报确定后的整合方案。说明各项资金实际安排使用情况，特别是用于支持产业发展的比例。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整合方案在年度实施中仅允许调整一次，脱贫县市根据地区审核意见、资金到位情况等进行完善后，于8月24日前，向地区乡村振兴局备案，报备程序与年初实施方案报备程序一致。对于整合方案调整后收到的相关资金，当年项目结余资金，脱贫县市可另行编制补充方案，于11月30</w:t>
      </w:r>
      <w:r>
        <w:rPr>
          <w:rFonts w:hint="eastAsia" w:ascii="仿宋" w:hAnsi="仿宋" w:eastAsia="仿宋" w:cs="仿宋"/>
          <w:sz w:val="32"/>
          <w:lang w:eastAsia="zh-CN"/>
        </w:rPr>
        <w:t>日</w:t>
      </w:r>
      <w:r>
        <w:rPr>
          <w:rFonts w:hint="eastAsia" w:ascii="仿宋" w:hAnsi="仿宋" w:eastAsia="仿宋" w:cs="仿宋"/>
          <w:sz w:val="32"/>
        </w:rPr>
        <w:t>前按程序报备。2021年整合方案首次报备工作和年中调整方案一并进行。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rPr>
      </w:pPr>
      <w:r>
        <w:rPr>
          <w:rFonts w:hint="eastAsia" w:ascii="黑体" w:hAnsi="黑体" w:eastAsia="黑体" w:cs="黑体"/>
          <w:b/>
          <w:bCs/>
          <w:sz w:val="32"/>
        </w:rPr>
        <w:t>六、整合资金项目监管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编入县市年度实施方案中整合资金纳入财政衔接推进乡村振兴补助资金的绩效考核及监管，未编入县市年度实施方案的资金由行业主管部门按原渠道绩效考核及监管。进一步推动审批权限下放到脱贫县市，县市承担资金安全、规范、有效使用的主体责任，切实加强整合资金使用和项目管理。地区乡村振兴局组织对政策实施效果进行系统总结和科学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楷体" w:hAnsi="楷体" w:eastAsia="楷体" w:cs="楷体"/>
          <w:b w:val="0"/>
          <w:bCs/>
          <w:sz w:val="32"/>
        </w:rPr>
        <w:t>（一）加强业务指导和沟通协调。</w:t>
      </w:r>
      <w:r>
        <w:rPr>
          <w:rFonts w:hint="eastAsia" w:ascii="仿宋" w:hAnsi="仿宋" w:eastAsia="仿宋" w:cs="仿宋"/>
          <w:sz w:val="32"/>
        </w:rPr>
        <w:t>地区各行业主管部门要落实培训责任，增强对脱贫县市的政策培训实效。建立乡村振兴部门牵头，相关部门参与的工作会议联席协调机制，定期召开协调会议交流情况，深入开展调查研究，及时总结经验做法，发现困难问题，主动向上</w:t>
      </w:r>
      <w:bookmarkStart w:id="0" w:name="_GoBack"/>
      <w:bookmarkEnd w:id="0"/>
      <w:r>
        <w:rPr>
          <w:rFonts w:hint="eastAsia" w:ascii="仿宋" w:hAnsi="仿宋" w:eastAsia="仿宋" w:cs="仿宋"/>
          <w:sz w:val="32"/>
        </w:rPr>
        <w:t>级部门反馈，并采取有针对性的措施加以解决。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楷体" w:hAnsi="楷体" w:eastAsia="楷体" w:cs="楷体"/>
          <w:b w:val="0"/>
          <w:bCs/>
          <w:sz w:val="32"/>
        </w:rPr>
        <w:t>（二）严格绩效管理。</w:t>
      </w:r>
      <w:r>
        <w:rPr>
          <w:rFonts w:hint="eastAsia" w:ascii="仿宋" w:hAnsi="仿宋" w:eastAsia="仿宋" w:cs="仿宋"/>
          <w:sz w:val="32"/>
        </w:rPr>
        <w:t>按照“谁申请资金，谁设定目标”的原则</w:t>
      </w:r>
      <w:r>
        <w:rPr>
          <w:rFonts w:hint="eastAsia" w:ascii="仿宋" w:hAnsi="仿宋" w:eastAsia="仿宋" w:cs="仿宋"/>
          <w:b/>
          <w:sz w:val="32"/>
        </w:rPr>
        <w:t>，</w:t>
      </w:r>
      <w:r>
        <w:rPr>
          <w:rFonts w:hint="eastAsia" w:ascii="仿宋" w:hAnsi="仿宋" w:eastAsia="仿宋" w:cs="仿宋"/>
          <w:sz w:val="32"/>
        </w:rPr>
        <w:t>各县市行业主管部门要加强对绩效目标、绩效自评的全过程项目预算绩效管理。做好绩效目标的录入、自评和整改工作。各县市行业主管部门主动及时发现绩效管理工作中存在的问题，对发现的问题及时进行整改，提高地县绩效目标编制、绩效评价各项工作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楷体" w:hAnsi="楷体" w:eastAsia="楷体" w:cs="楷体"/>
          <w:b w:val="0"/>
          <w:bCs/>
          <w:sz w:val="32"/>
        </w:rPr>
        <w:t>（三）落实公告公示制度。</w:t>
      </w:r>
      <w:r>
        <w:rPr>
          <w:rFonts w:hint="eastAsia" w:ascii="仿宋" w:hAnsi="仿宋" w:eastAsia="仿宋" w:cs="仿宋"/>
          <w:sz w:val="32"/>
        </w:rPr>
        <w:t>坚持“谁分配、谁使用、谁公开”的原则，各县市行业主管部门要落实项目资金公开公示和绩效管理要求，及时公开整合资金的相关政策文件、管理制度、资金分配、下拨、到账及安排使用情况，加强涉农资金整合情况的决策公开、执行公开、管理公开和执行结果公开。公告公示要到村级，主动接受各方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楷体" w:hAnsi="楷体" w:eastAsia="楷体" w:cs="楷体"/>
          <w:b w:val="0"/>
          <w:bCs/>
          <w:sz w:val="32"/>
        </w:rPr>
        <w:t>（四）抓好项目执行。</w:t>
      </w:r>
      <w:r>
        <w:rPr>
          <w:rFonts w:hint="eastAsia" w:ascii="仿宋" w:hAnsi="仿宋" w:eastAsia="仿宋" w:cs="仿宋"/>
          <w:sz w:val="32"/>
        </w:rPr>
        <w:t>各县市行业主管部门要做实整合项目资金管理台账，要利用现有信息系统，建立整合资金台账和做好统计分析工作，掌握资金下达进度、支出进度和用途、绩效等情况，定期汇总报告，确保数据准确、完整、真实。对补充方案报备后的项目结余资金，可作为县市级整合资金编入下一年度整合实施方案，不再对当年台账进行调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rPr>
      </w:pPr>
      <w:r>
        <w:rPr>
          <w:rFonts w:hint="eastAsia" w:ascii="黑体" w:hAnsi="黑体" w:eastAsia="黑体" w:cs="黑体"/>
          <w:b/>
          <w:bCs/>
          <w:sz w:val="32"/>
        </w:rPr>
        <w:t>七、责任分工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仿宋" w:hAnsi="仿宋" w:eastAsia="仿宋" w:cs="仿宋"/>
          <w:sz w:val="32"/>
        </w:rPr>
        <w:t>各级各部门要全面把握“三农”工作的新要求，紧紧围绕巩固拓展脱贫攻坚成果和乡村振兴确定的任务，按照“地区抓监管、县市抓落实”的工作机制，进一步完善涉农资金整合协调运行管理机制，落实职责分工、各司其职、形成合力、深入推进，确保各项措施落实到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楷体" w:hAnsi="楷体" w:eastAsia="楷体" w:cs="楷体"/>
          <w:b w:val="0"/>
          <w:bCs/>
          <w:sz w:val="32"/>
        </w:rPr>
        <w:t>（一）地区的责任。</w:t>
      </w:r>
      <w:r>
        <w:rPr>
          <w:rFonts w:hint="eastAsia" w:ascii="仿宋" w:hAnsi="仿宋" w:eastAsia="仿宋" w:cs="仿宋"/>
          <w:sz w:val="32"/>
        </w:rPr>
        <w:t>建立健全本地区推进涉农资金整合试点的制度措施，建立和完善运行协调工作机制。财政部门及时将中央、自治区、地区财政下达的涉农资金分配下达到脱贫县市。行业主管部门积极配合乡村振兴部门负责本级统筹整合范围涉农资金的分配下达、实施方案审核、项目绩效等相关工作。加强对涉农资金管理使用的指导，督促做好相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r>
        <w:rPr>
          <w:rFonts w:hint="eastAsia" w:ascii="楷体" w:hAnsi="楷体" w:eastAsia="楷体" w:cs="楷体"/>
          <w:b w:val="0"/>
          <w:bCs/>
          <w:sz w:val="32"/>
        </w:rPr>
        <w:t>（二）县市的责任。</w:t>
      </w:r>
      <w:r>
        <w:rPr>
          <w:rFonts w:hint="eastAsia" w:ascii="仿宋" w:hAnsi="仿宋" w:eastAsia="仿宋" w:cs="仿宋"/>
          <w:sz w:val="32"/>
        </w:rPr>
        <w:t>脱贫县市是涉农资金整合的实施主体，承担主体责任。县市人民政府要切实发挥领导协调作用，把统筹整合使用涉农资金纳入重要议事日程，完善项目资金集体决策制度，建立健全资金分配使用和监管机制，建立健全运行协调工作机制；加强县市项目库建设，组织编报相关规划、方案、统计报表和相关信息资料的编报工作，完成信息系统录入工作；做好项目论证，完善县市项目库项目，做到科学合理、可操作性强，根据相关变化情况按规定报备；将整合资金及时分解下达到责任部门和项目主体，督促项目加快实施进度，做好项目验收等工作。</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38C253"/>
    <w:multiLevelType w:val="multilevel"/>
    <w:tmpl w:val="6A38C253"/>
    <w:lvl w:ilvl="0" w:tentative="0">
      <w:start w:val="1"/>
      <w:numFmt w:val="decimal"/>
      <w:suff w:val="space"/>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80BEA"/>
    <w:rsid w:val="02BB1761"/>
    <w:rsid w:val="04FE6F82"/>
    <w:rsid w:val="144803AA"/>
    <w:rsid w:val="24A8414C"/>
    <w:rsid w:val="25C4092C"/>
    <w:rsid w:val="2AC81727"/>
    <w:rsid w:val="2DC80BEA"/>
    <w:rsid w:val="2E615D97"/>
    <w:rsid w:val="448C44DA"/>
    <w:rsid w:val="47071FE4"/>
    <w:rsid w:val="5EBC3E37"/>
    <w:rsid w:val="65D3142E"/>
    <w:rsid w:val="685F166A"/>
    <w:rsid w:val="73451E25"/>
    <w:rsid w:val="73EC4722"/>
    <w:rsid w:val="760B6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jc w:val="left"/>
    </w:pPr>
    <w:rPr>
      <w:rFonts w:ascii="Calibri" w:hAnsi="Calibri" w:eastAsia="仿宋_GB2312" w:cs="Times New Roman"/>
      <w:snapToGrid w:val="0"/>
      <w:spacing w:val="6"/>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2023-09-05T03:42:00Z</dcterms:created>
  <dc:creator>jg</dc:creator>
  <cp:lastModifiedBy>jg</cp:lastModifiedBy>
  <dcterms:modified xsi:type="dcterms:W3CDTF">2023-09-13T04:50:39Z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