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和田地区2022年政府信息公开工作年度报告</w:t>
      </w:r>
    </w:p>
    <w:p>
      <w:pPr>
        <w:spacing w:line="520" w:lineRule="exact"/>
        <w:ind w:firstLine="640" w:firstLineChars="200"/>
        <w:jc w:val="left"/>
        <w:rPr>
          <w:rFonts w:hint="eastAsia" w:ascii="仿宋_GB2312" w:hAnsi="仿宋_GB2312" w:eastAsia="仿宋_GB2312" w:cs="仿宋_GB2312"/>
          <w:sz w:val="32"/>
          <w:szCs w:val="32"/>
        </w:rPr>
      </w:pPr>
    </w:p>
    <w:p>
      <w:pPr>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中华人民共和国政府信息公开条例》及自治区人民政府办公厅《关于印发2022年政务公开工作要点的通知》（新政办函〔2022〕127号）编制。由总体情况，主动公开政府信息情况，收到和处理政府信息公开申请情况，政府信息公开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行政诉讼情况，存在的主要问题及改进情况，其他需要报告的事项等6部分组成，所列数据统计期限自2022年1月1日至2022年12月31日。</w:t>
      </w:r>
    </w:p>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一、总体情况</w:t>
      </w:r>
    </w:p>
    <w:p>
      <w:pPr>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和田地区坚持以习近平新时代中国特色社会主义思想为指导，全面贯彻党的二十大精神，紧紧围绕年度工作要点，认真执行《中华人民共和国政府信息公开条例》和贯彻落实自治区人民政府办公厅有关工作部署，强化大局意识、服务意识，扎实推进政府信息公开，促进依法行政和服务型政府建设。</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（一）主动公开方面。</w:t>
      </w:r>
      <w:r>
        <w:rPr>
          <w:rFonts w:hint="eastAsia" w:ascii="仿宋_GB2312" w:hAnsi="仿宋_GB2312" w:eastAsia="仿宋_GB2312" w:cs="仿宋_GB2312"/>
          <w:sz w:val="32"/>
          <w:szCs w:val="32"/>
        </w:rPr>
        <w:t>以和田地区行政公署网站和各行业国家、自治区级政务网站为主，各级新闻网站、报刊及政务新媒体为辅，主动公开政府信息。</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重点领域信息公开方面。</w:t>
      </w:r>
      <w:r>
        <w:rPr>
          <w:rFonts w:hint="eastAsia" w:ascii="仿宋_GB2312" w:hAnsi="仿宋_GB2312" w:eastAsia="仿宋_GB2312" w:cs="仿宋_GB2312"/>
          <w:sz w:val="32"/>
          <w:szCs w:val="32"/>
        </w:rPr>
        <w:t>生态环境信息25篇，财政信息59篇（其中：财政资金下基层信息51篇），涉农补贴信息3篇，乡村振兴信息23篇（其中：汽车消费补贴信息2篇），义务教育政策信息5篇，就业政策及补助资金信息13篇，养老服务信息8篇，市场监管信息326篇（其中：食品药品抽检信息6273件，不合格食品风险控制、核查处置信息122批次，违法失信企业706户次，联合惩戒信息93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助力经济平稳健康发展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社会和谐稳定信息公开方面。</w:t>
      </w:r>
      <w:r>
        <w:rPr>
          <w:rFonts w:hint="eastAsia" w:ascii="仿宋_GB2312" w:hAnsi="仿宋_GB2312" w:eastAsia="仿宋_GB2312" w:cs="仿宋_GB2312"/>
          <w:sz w:val="32"/>
          <w:szCs w:val="32"/>
          <w:lang w:eastAsia="zh-CN"/>
        </w:rPr>
        <w:t>全年公开</w:t>
      </w:r>
      <w:r>
        <w:rPr>
          <w:rFonts w:hint="eastAsia" w:ascii="仿宋_GB2312" w:hAnsi="仿宋_GB2312" w:eastAsia="仿宋_GB2312" w:cs="仿宋_GB2312"/>
          <w:sz w:val="32"/>
          <w:szCs w:val="32"/>
        </w:rPr>
        <w:t>营商环境信息280余篇，在“和田税务”、人民网、石榴云等媒体刊发税务信息240篇，涉及增值税留抵退税企业790户，疫情防控期间政策及回应信息5篇。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提升政策解读质量方面。全年公开政策解读8篇，通过图文并茂、视频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一问一答形式进行解读，用通俗易懂的方式让公众知晓政策。</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（二）依申请公开方面。</w:t>
      </w:r>
      <w:r>
        <w:rPr>
          <w:rFonts w:hint="eastAsia" w:ascii="仿宋_GB2312" w:hAnsi="仿宋_GB2312" w:eastAsia="仿宋_GB2312" w:cs="仿宋_GB2312"/>
          <w:sz w:val="32"/>
          <w:szCs w:val="32"/>
        </w:rPr>
        <w:t>畅通受理渠道、精准规范答复意见，建立会商机制，进一步提升依申请公开办理质量。全年收到政府信息公开申</w:t>
      </w:r>
      <w:r>
        <w:rPr>
          <w:rFonts w:hint="eastAsia" w:ascii="仿宋_GB2312" w:hAnsi="仿宋_GB2312" w:eastAsia="仿宋_GB2312" w:cs="仿宋_GB2312"/>
          <w:color w:val="000000" w:themeColor="text1"/>
          <w:sz w:val="32"/>
          <w:szCs w:val="32"/>
          <w14:textFill>
            <w14:solidFill>
              <w14:schemeClr w14:val="tx1"/>
            </w14:solidFill>
          </w14:textFill>
        </w:rPr>
        <w:t>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sz w:val="32"/>
          <w:szCs w:val="32"/>
        </w:rPr>
        <w:t>，当年全部办结。</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（三）政府信息管理方面。</w:t>
      </w:r>
      <w:r>
        <w:rPr>
          <w:rFonts w:hint="eastAsia" w:ascii="仿宋_GB2312" w:hAnsi="仿宋_GB2312" w:eastAsia="仿宋_GB2312" w:cs="仿宋_GB2312"/>
          <w:sz w:val="32"/>
          <w:szCs w:val="32"/>
        </w:rPr>
        <w:t>严格落实政府信息公开审查制度，认真执行政府信息公开行政复议案件审理制度，梳理拟公开政府信息类型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及时公开涉及社会公众利益调整、需要广泛知晓的事项，围绕政务公开、政务服务、政民互动、解读回应等功能定位，进一步加大对政策性文件的宣传解读力度。</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（四）政府信息公开平台建设方面。</w:t>
      </w:r>
      <w:r>
        <w:rPr>
          <w:rFonts w:hint="eastAsia" w:ascii="仿宋_GB2312" w:hAnsi="仿宋_GB2312" w:eastAsia="仿宋_GB2312" w:cs="仿宋_GB2312"/>
          <w:sz w:val="32"/>
          <w:szCs w:val="32"/>
        </w:rPr>
        <w:t>优化和完善</w:t>
      </w:r>
      <w:r>
        <w:rPr>
          <w:rFonts w:hint="eastAsia" w:ascii="仿宋_GB2312" w:hAnsi="仿宋_GB2312" w:eastAsia="仿宋_GB2312" w:cs="仿宋_GB2312"/>
          <w:sz w:val="32"/>
          <w:szCs w:val="32"/>
          <w:lang w:eastAsia="zh-CN"/>
        </w:rPr>
        <w:t>和田地区行政公署</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政府信息公开栏目</w:t>
      </w:r>
      <w:r>
        <w:rPr>
          <w:rFonts w:hint="eastAsia" w:ascii="仿宋_GB2312" w:hAnsi="仿宋_GB2312" w:eastAsia="仿宋_GB2312" w:cs="仿宋_GB2312"/>
          <w:sz w:val="32"/>
          <w:szCs w:val="32"/>
        </w:rPr>
        <w:t>、政务新媒体</w:t>
      </w:r>
      <w:r>
        <w:rPr>
          <w:rFonts w:hint="eastAsia" w:ascii="仿宋_GB2312" w:hAnsi="仿宋_GB2312" w:eastAsia="仿宋_GB2312" w:cs="仿宋_GB2312"/>
          <w:sz w:val="32"/>
          <w:szCs w:val="32"/>
          <w:lang w:eastAsia="zh-CN"/>
        </w:rPr>
        <w:t>功能</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信息公开的实用性、易用性，让群众能看的懂，听的明白。进一步加强政务新媒体规范化管理，将全地区政务新媒体融入自治区政务新媒体矩阵，和田地区</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新媒体矩阵</w:t>
      </w:r>
      <w:r>
        <w:rPr>
          <w:rFonts w:hint="eastAsia" w:ascii="仿宋_GB2312" w:hAnsi="仿宋_GB2312" w:eastAsia="仿宋_GB2312" w:cs="仿宋_GB2312"/>
          <w:sz w:val="32"/>
          <w:szCs w:val="32"/>
          <w:lang w:eastAsia="zh-CN"/>
        </w:rPr>
        <w:t>已建好，并在和田地区行政公署网站首页显示</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全地区</w:t>
      </w:r>
      <w:r>
        <w:rPr>
          <w:rFonts w:hint="eastAsia" w:ascii="仿宋_GB2312" w:hAnsi="仿宋_GB2312" w:eastAsia="仿宋_GB2312" w:cs="仿宋_GB2312"/>
          <w:sz w:val="32"/>
          <w:szCs w:val="32"/>
        </w:rPr>
        <w:t>政府网站适老化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无障碍</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IPv6改造。</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（五）监督保障方面。</w:t>
      </w:r>
      <w:r>
        <w:rPr>
          <w:rFonts w:hint="eastAsia" w:ascii="仿宋_GB2312" w:hAnsi="仿宋_GB2312" w:eastAsia="仿宋_GB2312" w:cs="仿宋_GB2312"/>
          <w:sz w:val="32"/>
          <w:szCs w:val="32"/>
        </w:rPr>
        <w:t>2022年，明确了行署主要领导每季度听取一次政务公开工作汇报的工作制度和行署常务副专员分管政务公开的工作机制，及时调整了地区政务公开工作领导小组成员，在制度建设、专项培训、绩效考核等方面给予了全方位指导支持。按照《2022年自治区政务公开工作要点》精神，下发《2022年和田地区政务公开和深化“放管服”改革重点任务落实评价指标》，明确责任单位细则、压实相关责任。定期开展政务公开网上巡查，通过考核巡查及时纠正政务公开落实不到位的现象，以检查促落实，以考核促落实，形成合理有序的监督、考评机制，确保政务公开工作有章可循、顺利推进。</w:t>
      </w:r>
    </w:p>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二、主动公开政府信息情况</w:t>
      </w:r>
    </w:p>
    <w:tbl>
      <w:tblPr>
        <w:tblStyle w:val="14"/>
        <w:tblpPr w:leftFromText="180" w:rightFromText="180" w:vertAnchor="text" w:horzAnchor="page" w:tblpXSpec="center" w:tblpY="144"/>
        <w:tblOverlap w:val="never"/>
        <w:tblW w:w="8840" w:type="dxa"/>
        <w:jc w:val="center"/>
        <w:tblLayout w:type="fixed"/>
        <w:tblCellMar>
          <w:top w:w="0" w:type="dxa"/>
          <w:left w:w="0" w:type="dxa"/>
          <w:bottom w:w="0" w:type="dxa"/>
          <w:right w:w="0" w:type="dxa"/>
        </w:tblCellMar>
      </w:tblPr>
      <w:tblGrid>
        <w:gridCol w:w="2210"/>
        <w:gridCol w:w="2211"/>
        <w:gridCol w:w="2209"/>
        <w:gridCol w:w="2210"/>
      </w:tblGrid>
      <w:tr>
        <w:tblPrEx>
          <w:tblCellMar>
            <w:top w:w="0" w:type="dxa"/>
            <w:left w:w="0" w:type="dxa"/>
            <w:bottom w:w="0" w:type="dxa"/>
            <w:right w:w="0" w:type="dxa"/>
          </w:tblCellMar>
        </w:tblPrEx>
        <w:trPr>
          <w:trHeight w:val="526" w:hRule="atLeas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第二十条第（一）项</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221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本年</w:t>
            </w:r>
            <w:r>
              <w:rPr>
                <w:rFonts w:hint="eastAsia" w:ascii="方正仿宋简体" w:hAnsi="宋体" w:eastAsia="方正仿宋简体" w:cs="宋体"/>
                <w:kern w:val="0"/>
                <w:sz w:val="20"/>
                <w:szCs w:val="20"/>
              </w:rPr>
              <w:t>制发件数</w:t>
            </w:r>
          </w:p>
        </w:tc>
        <w:tc>
          <w:tcPr>
            <w:tcW w:w="220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本年废止件数</w:t>
            </w:r>
          </w:p>
        </w:tc>
        <w:tc>
          <w:tcPr>
            <w:tcW w:w="221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现行有效件</w:t>
            </w:r>
            <w:r>
              <w:rPr>
                <w:rFonts w:hint="eastAsia" w:ascii="方正仿宋简体" w:hAnsi="宋体" w:eastAsia="方正仿宋简体" w:cs="宋体"/>
                <w:kern w:val="0"/>
                <w:sz w:val="20"/>
                <w:szCs w:val="20"/>
              </w:rPr>
              <w:t>数</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规章</w:t>
            </w:r>
          </w:p>
        </w:tc>
        <w:tc>
          <w:tcPr>
            <w:tcW w:w="221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0</w:t>
            </w:r>
          </w:p>
        </w:tc>
        <w:tc>
          <w:tcPr>
            <w:tcW w:w="220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0</w:t>
            </w:r>
          </w:p>
        </w:tc>
        <w:tc>
          <w:tcPr>
            <w:tcW w:w="221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Calibri" w:eastAsia="方正仿宋简体" w:cs="Calibri"/>
                <w:kern w:val="0"/>
                <w:sz w:val="20"/>
                <w:szCs w:val="20"/>
              </w:rPr>
              <w:t>0</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行政规范性文件</w:t>
            </w:r>
          </w:p>
        </w:tc>
        <w:tc>
          <w:tcPr>
            <w:tcW w:w="221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hint="default" w:ascii="方正仿宋简体" w:eastAsia="方正仿宋简体"/>
                <w:color w:val="FF0000"/>
                <w:sz w:val="20"/>
                <w:szCs w:val="20"/>
                <w:highlight w:val="none"/>
                <w:lang w:val="en-US" w:eastAsia="zh-CN"/>
              </w:rPr>
            </w:pPr>
            <w:r>
              <w:rPr>
                <w:rFonts w:hint="eastAsia" w:ascii="方正仿宋简体" w:hAnsi="宋体" w:eastAsia="方正仿宋简体" w:cs="宋体"/>
                <w:color w:val="000000" w:themeColor="text1"/>
                <w:kern w:val="0"/>
                <w:sz w:val="20"/>
                <w:szCs w:val="20"/>
                <w:highlight w:val="none"/>
                <w:lang w:val="en-US" w:eastAsia="zh-CN"/>
                <w14:textFill>
                  <w14:solidFill>
                    <w14:schemeClr w14:val="tx1"/>
                  </w14:solidFill>
                </w14:textFill>
              </w:rPr>
              <w:t>22</w:t>
            </w:r>
          </w:p>
        </w:tc>
        <w:tc>
          <w:tcPr>
            <w:tcW w:w="220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hint="eastAsia" w:ascii="方正仿宋简体" w:eastAsia="方正仿宋简体"/>
                <w:color w:val="FF0000"/>
                <w:sz w:val="20"/>
                <w:szCs w:val="20"/>
                <w:highlight w:val="none"/>
                <w:lang w:eastAsia="zh-CN"/>
              </w:rPr>
            </w:pPr>
            <w:r>
              <w:rPr>
                <w:rFonts w:hint="eastAsia" w:ascii="方正仿宋简体" w:hAnsi="宋体" w:eastAsia="方正仿宋简体" w:cs="宋体"/>
                <w:color w:val="000000" w:themeColor="text1"/>
                <w:kern w:val="0"/>
                <w:sz w:val="20"/>
                <w:szCs w:val="20"/>
                <w:highlight w:val="none"/>
                <w:lang w:val="en-US" w:eastAsia="zh-CN"/>
                <w14:textFill>
                  <w14:solidFill>
                    <w14:schemeClr w14:val="tx1"/>
                  </w14:solidFill>
                </w14:textFill>
              </w:rPr>
              <w:t>3</w:t>
            </w:r>
          </w:p>
        </w:tc>
        <w:tc>
          <w:tcPr>
            <w:tcW w:w="221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hint="default" w:ascii="方正仿宋简体" w:eastAsia="方正仿宋简体"/>
                <w:color w:val="FF0000"/>
                <w:sz w:val="20"/>
                <w:szCs w:val="20"/>
                <w:highlight w:val="none"/>
                <w:lang w:val="en-US"/>
              </w:rPr>
            </w:pPr>
            <w:r>
              <w:rPr>
                <w:rFonts w:hint="eastAsia" w:ascii="方正仿宋简体" w:hAnsi="Calibri" w:eastAsia="方正仿宋简体" w:cs="Calibri"/>
                <w:color w:val="000000" w:themeColor="text1"/>
                <w:kern w:val="0"/>
                <w:sz w:val="20"/>
                <w:szCs w:val="20"/>
                <w:highlight w:val="none"/>
                <w:lang w:val="en-US" w:eastAsia="zh-CN"/>
                <w14:textFill>
                  <w14:solidFill>
                    <w14:schemeClr w14:val="tx1"/>
                  </w14:solidFill>
                </w14:textFill>
              </w:rPr>
              <w:t>104</w:t>
            </w:r>
            <w:bookmarkStart w:id="0" w:name="_GoBack"/>
            <w:bookmarkEnd w:id="0"/>
          </w:p>
        </w:tc>
      </w:tr>
      <w:tr>
        <w:tblPrEx>
          <w:tblCellMar>
            <w:top w:w="0" w:type="dxa"/>
            <w:left w:w="0" w:type="dxa"/>
            <w:bottom w:w="0" w:type="dxa"/>
            <w:right w:w="0" w:type="dxa"/>
          </w:tblCellMar>
        </w:tblPrEx>
        <w:trPr>
          <w:trHeight w:val="526"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第二十条第（五）项</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663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本年处理决定数量</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行政许可</w:t>
            </w:r>
          </w:p>
        </w:tc>
        <w:tc>
          <w:tcPr>
            <w:tcW w:w="663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宋体" w:hAnsi="宋体" w:eastAsia="宋体" w:cs="宋体"/>
                <w:color w:val="000000" w:themeColor="text1"/>
                <w:kern w:val="0"/>
                <w:sz w:val="20"/>
                <w:szCs w:val="20"/>
                <w14:textFill>
                  <w14:solidFill>
                    <w14:schemeClr w14:val="tx1"/>
                  </w14:solidFill>
                </w14:textFill>
              </w:rPr>
              <w:t>27877</w:t>
            </w:r>
          </w:p>
        </w:tc>
      </w:tr>
      <w:tr>
        <w:tblPrEx>
          <w:tblCellMar>
            <w:top w:w="0" w:type="dxa"/>
            <w:left w:w="0" w:type="dxa"/>
            <w:bottom w:w="0" w:type="dxa"/>
            <w:right w:w="0" w:type="dxa"/>
          </w:tblCellMar>
        </w:tblPrEx>
        <w:trPr>
          <w:trHeight w:val="526"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第二十条第（六）项</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663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本年处理决定数量</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行政处罚</w:t>
            </w:r>
          </w:p>
        </w:tc>
        <w:tc>
          <w:tcPr>
            <w:tcW w:w="663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宋体" w:hAnsi="宋体" w:eastAsia="宋体" w:cs="宋体"/>
                <w:color w:val="000000" w:themeColor="text1"/>
                <w:kern w:val="0"/>
                <w:sz w:val="20"/>
                <w:szCs w:val="20"/>
                <w14:textFill>
                  <w14:solidFill>
                    <w14:schemeClr w14:val="tx1"/>
                  </w14:solidFill>
                </w14:textFill>
              </w:rPr>
              <w:t>3802</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行政强制</w:t>
            </w:r>
          </w:p>
        </w:tc>
        <w:tc>
          <w:tcPr>
            <w:tcW w:w="663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0</w:t>
            </w:r>
          </w:p>
        </w:tc>
      </w:tr>
      <w:tr>
        <w:tblPrEx>
          <w:tblCellMar>
            <w:top w:w="0" w:type="dxa"/>
            <w:left w:w="0" w:type="dxa"/>
            <w:bottom w:w="0" w:type="dxa"/>
            <w:right w:w="0" w:type="dxa"/>
          </w:tblCellMar>
        </w:tblPrEx>
        <w:trPr>
          <w:trHeight w:val="526"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第二十条第（八）项</w:t>
            </w:r>
          </w:p>
        </w:tc>
      </w:tr>
      <w:tr>
        <w:tblPrEx>
          <w:tblCellMar>
            <w:top w:w="0" w:type="dxa"/>
            <w:left w:w="0" w:type="dxa"/>
            <w:bottom w:w="0" w:type="dxa"/>
            <w:right w:w="0" w:type="dxa"/>
          </w:tblCellMar>
        </w:tblPrEx>
        <w:trPr>
          <w:trHeight w:val="52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663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本年收费金额（单位：万元）</w:t>
            </w:r>
          </w:p>
        </w:tc>
      </w:tr>
      <w:tr>
        <w:tblPrEx>
          <w:tblCellMar>
            <w:top w:w="0" w:type="dxa"/>
            <w:left w:w="0" w:type="dxa"/>
            <w:bottom w:w="0" w:type="dxa"/>
            <w:right w:w="0" w:type="dxa"/>
          </w:tblCellMar>
        </w:tblPrEx>
        <w:trPr>
          <w:trHeight w:val="546" w:hRule="atLeast"/>
          <w:jc w:val="center"/>
        </w:trPr>
        <w:tc>
          <w:tcPr>
            <w:tcW w:w="221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20" w:lineRule="exact"/>
              <w:jc w:val="center"/>
              <w:rPr>
                <w:rFonts w:ascii="方正仿宋简体" w:eastAsia="方正仿宋简体"/>
                <w:sz w:val="20"/>
                <w:szCs w:val="20"/>
              </w:rPr>
            </w:pPr>
            <w:r>
              <w:rPr>
                <w:rFonts w:hint="eastAsia" w:ascii="方正仿宋简体" w:hAnsi="宋体" w:eastAsia="方正仿宋简体" w:cs="宋体"/>
                <w:color w:val="000000"/>
                <w:kern w:val="0"/>
                <w:sz w:val="20"/>
                <w:szCs w:val="20"/>
              </w:rPr>
              <w:t>行政事业性收费</w:t>
            </w:r>
          </w:p>
        </w:tc>
        <w:tc>
          <w:tcPr>
            <w:tcW w:w="663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520" w:lineRule="exact"/>
              <w:jc w:val="center"/>
              <w:rPr>
                <w:rFonts w:ascii="方正仿宋简体" w:eastAsia="方正仿宋简体"/>
                <w:sz w:val="20"/>
                <w:szCs w:val="20"/>
              </w:rPr>
            </w:pPr>
            <w:r>
              <w:rPr>
                <w:rFonts w:hint="eastAsia" w:ascii="方正仿宋简体" w:eastAsia="方正仿宋简体"/>
                <w:color w:val="000000" w:themeColor="text1"/>
                <w:sz w:val="20"/>
                <w:szCs w:val="20"/>
                <w14:textFill>
                  <w14:solidFill>
                    <w14:schemeClr w14:val="tx1"/>
                  </w14:solidFill>
                </w14:textFill>
              </w:rPr>
              <w:t>8202</w:t>
            </w:r>
          </w:p>
        </w:tc>
      </w:tr>
    </w:tbl>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三、收到和处理政府信息公开申请情况</w:t>
      </w:r>
    </w:p>
    <w:tbl>
      <w:tblPr>
        <w:tblStyle w:val="14"/>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949"/>
        <w:gridCol w:w="3288"/>
        <w:gridCol w:w="697"/>
        <w:gridCol w:w="697"/>
        <w:gridCol w:w="697"/>
        <w:gridCol w:w="697"/>
        <w:gridCol w:w="697"/>
        <w:gridCol w:w="697"/>
        <w:gridCol w:w="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楷体" w:eastAsia="方正仿宋简体" w:cs="楷体"/>
                <w:kern w:val="0"/>
                <w:sz w:val="20"/>
                <w:szCs w:val="20"/>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企业</w:t>
            </w: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机构</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lang w:val="en-US" w:eastAsia="zh-CN"/>
              </w:rPr>
              <w:t>17</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val="en-US" w:eastAsia="zh-CN"/>
              </w:rPr>
            </w:pPr>
            <w:r>
              <w:rPr>
                <w:rFonts w:hint="eastAsia" w:ascii="宋体" w:hAnsi="宋体" w:eastAsia="宋体" w:cs="Calibri"/>
                <w:kern w:val="0"/>
                <w:sz w:val="20"/>
                <w:szCs w:val="20"/>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szCs w:val="22"/>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val="en-US" w:eastAsia="zh-CN"/>
              </w:rPr>
            </w:pPr>
            <w:r>
              <w:rPr>
                <w:rFonts w:hint="eastAsia" w:ascii="宋体" w:hAnsi="宋体" w:eastAsia="宋体" w:cs="Calibri"/>
                <w:kern w:val="0"/>
                <w:sz w:val="20"/>
                <w:szCs w:val="20"/>
                <w:lang w:val="en-US" w:eastAsia="zh-CN"/>
              </w:rPr>
              <w:t>10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val="en-US" w:eastAsia="zh-CN"/>
              </w:rPr>
            </w:pPr>
            <w:r>
              <w:rPr>
                <w:rFonts w:hint="eastAsia" w:ascii="宋体" w:hAnsi="宋体" w:eastAsia="宋体" w:cs="Calibri"/>
                <w:kern w:val="0"/>
                <w:sz w:val="20"/>
                <w:szCs w:val="20"/>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（二）部分公开</w:t>
            </w:r>
            <w:r>
              <w:rPr>
                <w:rFonts w:hint="eastAsia" w:ascii="方正仿宋简体" w:hAnsi="楷体" w:eastAsia="方正仿宋简体" w:cs="楷体"/>
                <w:kern w:val="0"/>
                <w:sz w:val="20"/>
                <w:szCs w:val="20"/>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1</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（三）不予公开</w:t>
            </w: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1</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（四）无法提供</w:t>
            </w: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1</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（五）不予处理</w:t>
            </w: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（六）其他处理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val="en-US" w:eastAsia="zh-CN"/>
              </w:rPr>
            </w:pPr>
            <w:r>
              <w:rPr>
                <w:rFonts w:hint="eastAsia" w:ascii="宋体" w:hAnsi="宋体" w:eastAsia="宋体" w:cs="Calibri"/>
                <w:kern w:val="0"/>
                <w:sz w:val="20"/>
                <w:szCs w:val="20"/>
                <w:lang w:val="en-US" w:eastAsia="zh-CN"/>
              </w:rPr>
              <w:t>17</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eastAsia="zh-CN"/>
              </w:rPr>
            </w:pPr>
            <w:r>
              <w:rPr>
                <w:rFonts w:hint="eastAsia" w:ascii="宋体" w:hAnsi="宋体" w:eastAsia="宋体" w:cs="Calibri"/>
                <w:kern w:val="0"/>
                <w:sz w:val="20"/>
                <w:szCs w:val="20"/>
                <w:lang w:val="en-US" w:eastAsia="zh-CN"/>
              </w:rPr>
              <w:t>2</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lang w:val="en-US" w:eastAsia="zh-CN"/>
              </w:rPr>
            </w:pPr>
            <w:r>
              <w:rPr>
                <w:rFonts w:hint="eastAsia" w:ascii="宋体" w:hAnsi="宋体" w:eastAsia="宋体" w:cs="Calibri"/>
                <w:kern w:val="0"/>
                <w:sz w:val="20"/>
                <w:szCs w:val="20"/>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方正仿宋简体" w:eastAsia="方正仿宋简体"/>
                <w:szCs w:val="22"/>
              </w:rPr>
            </w:pPr>
            <w:r>
              <w:rPr>
                <w:rFonts w:hint="eastAsia" w:ascii="方正仿宋简体" w:hAnsi="宋体" w:eastAsia="方正仿宋简体" w:cs="宋体"/>
                <w:kern w:val="0"/>
                <w:sz w:val="20"/>
                <w:szCs w:val="20"/>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Cs w:val="22"/>
              </w:rPr>
            </w:pPr>
            <w:r>
              <w:rPr>
                <w:rFonts w:hint="eastAsia" w:ascii="宋体" w:hAnsi="宋体" w:eastAsia="宋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sz w:val="24"/>
              </w:rPr>
            </w:pPr>
            <w:r>
              <w:rPr>
                <w:rFonts w:hint="eastAsia" w:ascii="宋体" w:hAnsi="宋体" w:eastAsia="宋体" w:cs="Calibri"/>
                <w:kern w:val="0"/>
                <w:sz w:val="20"/>
                <w:szCs w:val="20"/>
              </w:rPr>
              <w:t>0</w:t>
            </w:r>
          </w:p>
        </w:tc>
      </w:tr>
    </w:tbl>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四、政府信息公开行政复议、行政诉讼情况</w:t>
      </w:r>
    </w:p>
    <w:tbl>
      <w:tblPr>
        <w:tblStyle w:val="14"/>
        <w:tblW w:w="99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4"/>
        <w:gridCol w:w="654"/>
        <w:gridCol w:w="654"/>
        <w:gridCol w:w="655"/>
        <w:gridCol w:w="653"/>
        <w:gridCol w:w="654"/>
        <w:gridCol w:w="654"/>
        <w:gridCol w:w="655"/>
        <w:gridCol w:w="655"/>
        <w:gridCol w:w="654"/>
        <w:gridCol w:w="655"/>
        <w:gridCol w:w="655"/>
        <w:gridCol w:w="655"/>
        <w:gridCol w:w="655"/>
        <w:gridCol w:w="7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1" w:hRule="atLeast"/>
          <w:jc w:val="center"/>
        </w:trPr>
        <w:tc>
          <w:tcPr>
            <w:tcW w:w="327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行政复议</w:t>
            </w:r>
          </w:p>
        </w:tc>
        <w:tc>
          <w:tcPr>
            <w:tcW w:w="6650"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65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结果维持</w:t>
            </w:r>
          </w:p>
        </w:tc>
        <w:tc>
          <w:tcPr>
            <w:tcW w:w="65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65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其他</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结果</w:t>
            </w:r>
          </w:p>
        </w:tc>
        <w:tc>
          <w:tcPr>
            <w:tcW w:w="6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65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总计</w:t>
            </w:r>
          </w:p>
        </w:tc>
        <w:tc>
          <w:tcPr>
            <w:tcW w:w="327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未经复议直接起诉</w:t>
            </w:r>
          </w:p>
        </w:tc>
        <w:tc>
          <w:tcPr>
            <w:tcW w:w="337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65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5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5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5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方正仿宋简体" w:eastAsia="方正仿宋简体"/>
                <w:sz w:val="24"/>
              </w:rPr>
            </w:pP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维持</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其他</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结果</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6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总计</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维持</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其他</w:t>
            </w:r>
            <w:r>
              <w:rPr>
                <w:rFonts w:hint="eastAsia" w:ascii="方正仿宋简体" w:hAnsi="宋体" w:eastAsia="方正仿宋简体" w:cs="宋体"/>
                <w:color w:val="000000"/>
                <w:kern w:val="0"/>
                <w:sz w:val="20"/>
                <w:szCs w:val="20"/>
              </w:rPr>
              <w:br w:type="textWrapping"/>
            </w:r>
            <w:r>
              <w:rPr>
                <w:rFonts w:hint="eastAsia" w:ascii="方正仿宋简体" w:hAnsi="宋体" w:eastAsia="方正仿宋简体" w:cs="宋体"/>
                <w:color w:val="000000"/>
                <w:kern w:val="0"/>
                <w:sz w:val="20"/>
                <w:szCs w:val="20"/>
              </w:rPr>
              <w:t>结果</w:t>
            </w:r>
          </w:p>
        </w:tc>
        <w:tc>
          <w:tcPr>
            <w:tcW w:w="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7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eastAsia="方正仿宋简体"/>
              </w:rPr>
              <w:t>0</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w:t>
            </w:r>
          </w:p>
        </w:tc>
        <w:tc>
          <w:tcPr>
            <w:tcW w:w="6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eastAsia="方正仿宋简体"/>
              </w:rPr>
              <w:t>0</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p>
        </w:tc>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w:t>
            </w:r>
          </w:p>
        </w:tc>
        <w:tc>
          <w:tcPr>
            <w:tcW w:w="7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方正仿宋简体" w:eastAsia="方正仿宋简体"/>
                <w:sz w:val="24"/>
              </w:rPr>
            </w:pPr>
            <w:r>
              <w:rPr>
                <w:rFonts w:hint="eastAsia" w:ascii="方正仿宋简体" w:hAnsi="Calibri" w:eastAsia="方正仿宋简体" w:cs="Calibri"/>
                <w:kern w:val="0"/>
                <w:sz w:val="20"/>
                <w:szCs w:val="20"/>
              </w:rPr>
              <w:t>0</w:t>
            </w:r>
          </w:p>
        </w:tc>
      </w:tr>
    </w:tbl>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五、存在的主要问题及改进情况</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（一）主要问题。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政府信息公开时效性有待增强。部分单位信息公开机制缺乏，公开主动性、积极性不足，不能及时有效进行公开。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政府信息公开实用性有待提高。涉及公众切身利益、需要公众广泛知晓的民生领域、重点领域和政策解读等信息公开质量不</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，公开内容单一化、表面化，缺乏深层次解读。</w:t>
      </w:r>
    </w:p>
    <w:p>
      <w:pPr>
        <w:spacing w:line="5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（二）改进情况。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加强领导，提高认识。全面提高政府信息公开工作重要性认识，切实加强领导，强化工作机构职能，形成“主要领导亲自抓，分管领导具体抓、业务部门抓落实”的工作体系，确保工作常态化。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强化学习培训，提升政府信息公开工作水平。加大对政府信息公开相关人员业务培训力度，从政策、法规理论和政</w:t>
      </w:r>
      <w:r>
        <w:rPr>
          <w:rFonts w:hint="eastAsia" w:ascii="仿宋_GB2312" w:hAnsi="仿宋_GB2312" w:eastAsia="仿宋_GB2312" w:cs="仿宋_GB2312"/>
          <w:sz w:val="32"/>
          <w:szCs w:val="32"/>
          <w:lang w:eastAsia="zh-CN"/>
        </w:rPr>
        <w:t>府</w:t>
      </w:r>
      <w:r>
        <w:rPr>
          <w:rFonts w:hint="eastAsia" w:ascii="仿宋_GB2312" w:hAnsi="仿宋_GB2312" w:eastAsia="仿宋_GB2312" w:cs="仿宋_GB2312"/>
          <w:sz w:val="32"/>
          <w:szCs w:val="32"/>
        </w:rPr>
        <w:t>网站及政务新媒体应用、管理等方面得到增强。政府信息公开主管部门深入一线强化工作指导，解决工作存在的疑难问题。</w:t>
      </w:r>
    </w:p>
    <w:p>
      <w:pPr>
        <w:spacing w:line="52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六、其他需要报告的事项</w:t>
      </w:r>
    </w:p>
    <w:p>
      <w:pPr>
        <w:spacing w:line="52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eastAsia="zh-CN"/>
        </w:rPr>
        <w:t>，全地区无</w:t>
      </w:r>
      <w:r>
        <w:rPr>
          <w:rFonts w:hint="eastAsia" w:ascii="仿宋_GB2312" w:hAnsi="仿宋_GB2312" w:eastAsia="仿宋_GB2312" w:cs="仿宋_GB2312"/>
          <w:sz w:val="32"/>
          <w:szCs w:val="32"/>
        </w:rPr>
        <w:t>收取信息处理费</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。发出收费通知的件数和总金额，以及实际收取的总金额均为0。</w:t>
      </w:r>
    </w:p>
    <w:p>
      <w:pPr>
        <w:pStyle w:val="2"/>
      </w:pPr>
    </w:p>
    <w:p>
      <w:pPr>
        <w:pStyle w:val="3"/>
      </w:pPr>
    </w:p>
    <w:p>
      <w:pPr>
        <w:pStyle w:val="3"/>
        <w:spacing w:line="520" w:lineRule="exact"/>
        <w:ind w:firstLine="4160" w:firstLineChars="1300"/>
      </w:pPr>
      <w:r>
        <w:rPr>
          <w:rFonts w:hint="eastAsia" w:ascii="方正仿宋简体" w:hAnsi="宋体" w:eastAsia="方正仿宋简体" w:cs="宋体"/>
          <w:color w:val="333333"/>
          <w:sz w:val="32"/>
          <w:szCs w:val="32"/>
          <w:shd w:val="clear" w:color="auto" w:fill="FFFFFF"/>
        </w:rPr>
        <w:t>2023年1月30日</w:t>
      </w:r>
    </w:p>
    <w:p>
      <w:pPr>
        <w:pStyle w:val="4"/>
        <w:ind w:firstLine="640"/>
      </w:pPr>
    </w:p>
    <w:sectPr>
      <w:footerReference r:id="rId3" w:type="default"/>
      <w:pgSz w:w="11906" w:h="16838"/>
      <w:pgMar w:top="2098" w:right="1531" w:bottom="1984" w:left="1531"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36824"/>
      <w:docPartObj>
        <w:docPartGallery w:val="autotext"/>
      </w:docPartObj>
    </w:sdtPr>
    <w:sdtContent>
      <w:p>
        <w:pPr>
          <w:pStyle w:val="11"/>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36CD3"/>
    <w:multiLevelType w:val="singleLevel"/>
    <w:tmpl w:val="61036CD3"/>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dit="forms"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51631"/>
    <w:rsid w:val="00030E1B"/>
    <w:rsid w:val="00054448"/>
    <w:rsid w:val="00056C5F"/>
    <w:rsid w:val="0005781B"/>
    <w:rsid w:val="00072C2D"/>
    <w:rsid w:val="000972B9"/>
    <w:rsid w:val="000A76DC"/>
    <w:rsid w:val="000D2D04"/>
    <w:rsid w:val="000D5071"/>
    <w:rsid w:val="00104398"/>
    <w:rsid w:val="001065C0"/>
    <w:rsid w:val="00124845"/>
    <w:rsid w:val="00147536"/>
    <w:rsid w:val="00161FDA"/>
    <w:rsid w:val="00173F21"/>
    <w:rsid w:val="001A2F6C"/>
    <w:rsid w:val="001A7420"/>
    <w:rsid w:val="001C43EF"/>
    <w:rsid w:val="001E044E"/>
    <w:rsid w:val="00225D8D"/>
    <w:rsid w:val="00282B7E"/>
    <w:rsid w:val="002B3320"/>
    <w:rsid w:val="0034021F"/>
    <w:rsid w:val="0038307B"/>
    <w:rsid w:val="003E014A"/>
    <w:rsid w:val="004049ED"/>
    <w:rsid w:val="004244FF"/>
    <w:rsid w:val="00425BA4"/>
    <w:rsid w:val="00442792"/>
    <w:rsid w:val="004652E5"/>
    <w:rsid w:val="004E3322"/>
    <w:rsid w:val="004F0051"/>
    <w:rsid w:val="005008AB"/>
    <w:rsid w:val="0050385C"/>
    <w:rsid w:val="00516D05"/>
    <w:rsid w:val="00545F43"/>
    <w:rsid w:val="0055118F"/>
    <w:rsid w:val="00563B3E"/>
    <w:rsid w:val="005A371C"/>
    <w:rsid w:val="005E3FCF"/>
    <w:rsid w:val="006239CA"/>
    <w:rsid w:val="0063120F"/>
    <w:rsid w:val="00674317"/>
    <w:rsid w:val="006B7362"/>
    <w:rsid w:val="006D0F32"/>
    <w:rsid w:val="006D1C18"/>
    <w:rsid w:val="006F3765"/>
    <w:rsid w:val="0072713F"/>
    <w:rsid w:val="00742E93"/>
    <w:rsid w:val="007501E8"/>
    <w:rsid w:val="00766929"/>
    <w:rsid w:val="00797706"/>
    <w:rsid w:val="007D1B0D"/>
    <w:rsid w:val="007F0C2A"/>
    <w:rsid w:val="007F1B21"/>
    <w:rsid w:val="008156EA"/>
    <w:rsid w:val="008335D0"/>
    <w:rsid w:val="008757A5"/>
    <w:rsid w:val="008927C5"/>
    <w:rsid w:val="008A6287"/>
    <w:rsid w:val="008B0608"/>
    <w:rsid w:val="009208AB"/>
    <w:rsid w:val="00923751"/>
    <w:rsid w:val="00924F23"/>
    <w:rsid w:val="009439B6"/>
    <w:rsid w:val="009A4B13"/>
    <w:rsid w:val="009B46E6"/>
    <w:rsid w:val="009D6477"/>
    <w:rsid w:val="009D7764"/>
    <w:rsid w:val="009E73F7"/>
    <w:rsid w:val="009F20E5"/>
    <w:rsid w:val="00A62004"/>
    <w:rsid w:val="00A65010"/>
    <w:rsid w:val="00A742B8"/>
    <w:rsid w:val="00A90B65"/>
    <w:rsid w:val="00AD6170"/>
    <w:rsid w:val="00B05DB7"/>
    <w:rsid w:val="00B145C4"/>
    <w:rsid w:val="00B32433"/>
    <w:rsid w:val="00B43A24"/>
    <w:rsid w:val="00B53178"/>
    <w:rsid w:val="00BB2CAC"/>
    <w:rsid w:val="00BB3845"/>
    <w:rsid w:val="00BC442C"/>
    <w:rsid w:val="00BC7BA2"/>
    <w:rsid w:val="00BE7035"/>
    <w:rsid w:val="00BF2904"/>
    <w:rsid w:val="00C23CB0"/>
    <w:rsid w:val="00CB0184"/>
    <w:rsid w:val="00CF58A8"/>
    <w:rsid w:val="00D0530A"/>
    <w:rsid w:val="00D41FC2"/>
    <w:rsid w:val="00D42977"/>
    <w:rsid w:val="00DA16DE"/>
    <w:rsid w:val="00DB7224"/>
    <w:rsid w:val="00DC16B8"/>
    <w:rsid w:val="00DE199E"/>
    <w:rsid w:val="00E20A84"/>
    <w:rsid w:val="00E40DD5"/>
    <w:rsid w:val="00E66CD2"/>
    <w:rsid w:val="00E82EF2"/>
    <w:rsid w:val="00EB0DD5"/>
    <w:rsid w:val="00EF7921"/>
    <w:rsid w:val="00F04070"/>
    <w:rsid w:val="00F1157C"/>
    <w:rsid w:val="00FA5E4D"/>
    <w:rsid w:val="00FC38A9"/>
    <w:rsid w:val="00FD1C61"/>
    <w:rsid w:val="00FE0911"/>
    <w:rsid w:val="014604E0"/>
    <w:rsid w:val="03226268"/>
    <w:rsid w:val="03333183"/>
    <w:rsid w:val="0363611D"/>
    <w:rsid w:val="03BE0A47"/>
    <w:rsid w:val="03DA5406"/>
    <w:rsid w:val="04F13E55"/>
    <w:rsid w:val="06551631"/>
    <w:rsid w:val="079B16F8"/>
    <w:rsid w:val="07BC7DC7"/>
    <w:rsid w:val="08FB785B"/>
    <w:rsid w:val="0906067F"/>
    <w:rsid w:val="096D38F1"/>
    <w:rsid w:val="0AB320B4"/>
    <w:rsid w:val="0AC80AB5"/>
    <w:rsid w:val="0AD416E1"/>
    <w:rsid w:val="0B7876F3"/>
    <w:rsid w:val="0F6A082C"/>
    <w:rsid w:val="0F9734F4"/>
    <w:rsid w:val="0FDD4C91"/>
    <w:rsid w:val="10626286"/>
    <w:rsid w:val="1094394B"/>
    <w:rsid w:val="11661506"/>
    <w:rsid w:val="12177011"/>
    <w:rsid w:val="12367E3A"/>
    <w:rsid w:val="13A17C04"/>
    <w:rsid w:val="13D26B1F"/>
    <w:rsid w:val="14944E5A"/>
    <w:rsid w:val="15801752"/>
    <w:rsid w:val="15EC559C"/>
    <w:rsid w:val="161021E1"/>
    <w:rsid w:val="1679467E"/>
    <w:rsid w:val="17BA4E78"/>
    <w:rsid w:val="17E96D22"/>
    <w:rsid w:val="184866E1"/>
    <w:rsid w:val="187952AB"/>
    <w:rsid w:val="18B85291"/>
    <w:rsid w:val="1AE52F77"/>
    <w:rsid w:val="1AF23562"/>
    <w:rsid w:val="1C2627D9"/>
    <w:rsid w:val="1C6A4930"/>
    <w:rsid w:val="1D971446"/>
    <w:rsid w:val="1DD51468"/>
    <w:rsid w:val="1E236C3B"/>
    <w:rsid w:val="1F3D702B"/>
    <w:rsid w:val="1F8839A3"/>
    <w:rsid w:val="20412E46"/>
    <w:rsid w:val="21714F14"/>
    <w:rsid w:val="235920DE"/>
    <w:rsid w:val="236A022B"/>
    <w:rsid w:val="238C2C2B"/>
    <w:rsid w:val="238D19C7"/>
    <w:rsid w:val="238F095C"/>
    <w:rsid w:val="23A03A0A"/>
    <w:rsid w:val="23C05E91"/>
    <w:rsid w:val="24581407"/>
    <w:rsid w:val="24A43D81"/>
    <w:rsid w:val="263A07AD"/>
    <w:rsid w:val="27233ED6"/>
    <w:rsid w:val="27EE7867"/>
    <w:rsid w:val="281501D6"/>
    <w:rsid w:val="284B0CE8"/>
    <w:rsid w:val="2985374C"/>
    <w:rsid w:val="2A990F87"/>
    <w:rsid w:val="2AAA7AB6"/>
    <w:rsid w:val="2C8478B4"/>
    <w:rsid w:val="2D4463DD"/>
    <w:rsid w:val="2DFF2F3D"/>
    <w:rsid w:val="2FB91397"/>
    <w:rsid w:val="2FC85FEE"/>
    <w:rsid w:val="344635CF"/>
    <w:rsid w:val="350E716A"/>
    <w:rsid w:val="35EE7B0E"/>
    <w:rsid w:val="36A3281B"/>
    <w:rsid w:val="37F35ABE"/>
    <w:rsid w:val="395969FD"/>
    <w:rsid w:val="398A2B6C"/>
    <w:rsid w:val="39956366"/>
    <w:rsid w:val="3A6E5EC1"/>
    <w:rsid w:val="3B476145"/>
    <w:rsid w:val="3B86602C"/>
    <w:rsid w:val="3BBD6692"/>
    <w:rsid w:val="3CAF70E5"/>
    <w:rsid w:val="3CBE0744"/>
    <w:rsid w:val="3D3E3BEA"/>
    <w:rsid w:val="3E2C7090"/>
    <w:rsid w:val="3E423267"/>
    <w:rsid w:val="3F3F7DDE"/>
    <w:rsid w:val="3FFAF56B"/>
    <w:rsid w:val="41D1419A"/>
    <w:rsid w:val="424B523F"/>
    <w:rsid w:val="424E22C0"/>
    <w:rsid w:val="429B73CA"/>
    <w:rsid w:val="429F4C2E"/>
    <w:rsid w:val="42A512BC"/>
    <w:rsid w:val="432A6039"/>
    <w:rsid w:val="438B535B"/>
    <w:rsid w:val="441A279D"/>
    <w:rsid w:val="44480D2A"/>
    <w:rsid w:val="45CF3583"/>
    <w:rsid w:val="46C4679F"/>
    <w:rsid w:val="46F2479E"/>
    <w:rsid w:val="4801236F"/>
    <w:rsid w:val="48B72C0C"/>
    <w:rsid w:val="4A3A32B4"/>
    <w:rsid w:val="4B2D4ED5"/>
    <w:rsid w:val="4B612110"/>
    <w:rsid w:val="4B857C70"/>
    <w:rsid w:val="50F8616C"/>
    <w:rsid w:val="514C1117"/>
    <w:rsid w:val="518D65DD"/>
    <w:rsid w:val="51D5162F"/>
    <w:rsid w:val="5200632E"/>
    <w:rsid w:val="52604CFE"/>
    <w:rsid w:val="528A11B5"/>
    <w:rsid w:val="529B47DF"/>
    <w:rsid w:val="53317BCD"/>
    <w:rsid w:val="53EE5F91"/>
    <w:rsid w:val="53F57590"/>
    <w:rsid w:val="542C7454"/>
    <w:rsid w:val="54B93F7C"/>
    <w:rsid w:val="54C724CF"/>
    <w:rsid w:val="550C6E93"/>
    <w:rsid w:val="553A3950"/>
    <w:rsid w:val="557C4C57"/>
    <w:rsid w:val="58E83367"/>
    <w:rsid w:val="596F28BC"/>
    <w:rsid w:val="59A754C0"/>
    <w:rsid w:val="59AC28CA"/>
    <w:rsid w:val="5A327433"/>
    <w:rsid w:val="5B4E05AE"/>
    <w:rsid w:val="5BFC5F79"/>
    <w:rsid w:val="5C480021"/>
    <w:rsid w:val="5C4A7835"/>
    <w:rsid w:val="5C5318B0"/>
    <w:rsid w:val="5CCD49B5"/>
    <w:rsid w:val="5D2B39DB"/>
    <w:rsid w:val="5F106D0B"/>
    <w:rsid w:val="5FF44306"/>
    <w:rsid w:val="60934F9E"/>
    <w:rsid w:val="60EE4983"/>
    <w:rsid w:val="61B33A13"/>
    <w:rsid w:val="61CF4BEE"/>
    <w:rsid w:val="625D6AF5"/>
    <w:rsid w:val="627B76D8"/>
    <w:rsid w:val="63615AAE"/>
    <w:rsid w:val="657849A7"/>
    <w:rsid w:val="657D03BE"/>
    <w:rsid w:val="65CD703F"/>
    <w:rsid w:val="66AC0C12"/>
    <w:rsid w:val="67412F83"/>
    <w:rsid w:val="67564671"/>
    <w:rsid w:val="68CA300C"/>
    <w:rsid w:val="69991B54"/>
    <w:rsid w:val="69A01F44"/>
    <w:rsid w:val="6B0A76BD"/>
    <w:rsid w:val="6D197978"/>
    <w:rsid w:val="6DD27E6D"/>
    <w:rsid w:val="6E1B6E16"/>
    <w:rsid w:val="6EDD182C"/>
    <w:rsid w:val="70863FAC"/>
    <w:rsid w:val="708E4ED1"/>
    <w:rsid w:val="7172784C"/>
    <w:rsid w:val="71CB18E0"/>
    <w:rsid w:val="726A0120"/>
    <w:rsid w:val="734761ED"/>
    <w:rsid w:val="73503215"/>
    <w:rsid w:val="73733019"/>
    <w:rsid w:val="74940E86"/>
    <w:rsid w:val="75B41BAB"/>
    <w:rsid w:val="75F41D79"/>
    <w:rsid w:val="761300C5"/>
    <w:rsid w:val="77B12A6D"/>
    <w:rsid w:val="77F66896"/>
    <w:rsid w:val="78124312"/>
    <w:rsid w:val="79B531E6"/>
    <w:rsid w:val="7A5E3B3D"/>
    <w:rsid w:val="7B4BB8D9"/>
    <w:rsid w:val="7BF216EB"/>
    <w:rsid w:val="7BF3131F"/>
    <w:rsid w:val="7C3B622A"/>
    <w:rsid w:val="7C8F6FA8"/>
    <w:rsid w:val="7CD15567"/>
    <w:rsid w:val="7DB70C92"/>
    <w:rsid w:val="7EE92FE6"/>
    <w:rsid w:val="7FA63511"/>
    <w:rsid w:val="7FBE6639"/>
    <w:rsid w:val="7FF33AA8"/>
    <w:rsid w:val="7FFB1382"/>
    <w:rsid w:val="BEFFC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880" w:firstLineChars="200"/>
    </w:pPr>
    <w:rPr>
      <w:rFonts w:ascii="Calibri" w:hAnsi="Calibri"/>
      <w:sz w:val="28"/>
      <w:szCs w:val="22"/>
    </w:rPr>
  </w:style>
  <w:style w:type="paragraph" w:styleId="3">
    <w:name w:val="Body Text Indent"/>
    <w:basedOn w:val="1"/>
    <w:next w:val="4"/>
    <w:qFormat/>
    <w:uiPriority w:val="0"/>
    <w:pPr>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6">
    <w:name w:val="Body Text"/>
    <w:basedOn w:val="1"/>
    <w:qFormat/>
    <w:uiPriority w:val="0"/>
    <w:pPr>
      <w:jc w:val="center"/>
    </w:pPr>
    <w:rPr>
      <w:rFonts w:eastAsia="华文中宋"/>
      <w:sz w:val="44"/>
    </w:rPr>
  </w:style>
  <w:style w:type="paragraph" w:styleId="7">
    <w:name w:val="toc 3"/>
    <w:basedOn w:val="1"/>
    <w:next w:val="1"/>
    <w:qFormat/>
    <w:uiPriority w:val="0"/>
    <w:pPr>
      <w:ind w:left="840" w:leftChars="400"/>
    </w:pPr>
  </w:style>
  <w:style w:type="paragraph" w:styleId="8">
    <w:name w:val="Plain Text"/>
    <w:basedOn w:val="1"/>
    <w:next w:val="9"/>
    <w:qFormat/>
    <w:uiPriority w:val="0"/>
    <w:rPr>
      <w:rFonts w:ascii="宋体" w:hAnsi="Courier New" w:eastAsia="宋体"/>
      <w:szCs w:val="20"/>
    </w:rPr>
  </w:style>
  <w:style w:type="paragraph" w:styleId="9">
    <w:name w:val="List Number 5"/>
    <w:basedOn w:val="1"/>
    <w:qFormat/>
    <w:uiPriority w:val="0"/>
    <w:pPr>
      <w:numPr>
        <w:ilvl w:val="0"/>
        <w:numId w:val="1"/>
      </w:numPr>
    </w:pPr>
  </w:style>
  <w:style w:type="paragraph" w:styleId="10">
    <w:name w:val="Date"/>
    <w:basedOn w:val="1"/>
    <w:next w:val="1"/>
    <w:link w:val="31"/>
    <w:qFormat/>
    <w:uiPriority w:val="0"/>
    <w:pPr>
      <w:ind w:left="100" w:leftChars="2500"/>
    </w:pPr>
  </w:style>
  <w:style w:type="paragraph" w:styleId="11">
    <w:name w:val="footer"/>
    <w:basedOn w:val="1"/>
    <w:link w:val="30"/>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100"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page number"/>
    <w:basedOn w:val="16"/>
    <w:qFormat/>
    <w:uiPriority w:val="0"/>
    <w:rPr>
      <w:rFonts w:ascii="宋体" w:eastAsia="宋体"/>
      <w:color w:val="auto"/>
      <w:spacing w:val="0"/>
      <w:kern w:val="28"/>
      <w:sz w:val="24"/>
      <w:shd w:val="clear" w:color="auto" w:fill="auto"/>
    </w:rPr>
  </w:style>
  <w:style w:type="paragraph" w:customStyle="1" w:styleId="19">
    <w:name w:val="样式1"/>
    <w:basedOn w:val="1"/>
    <w:qFormat/>
    <w:uiPriority w:val="0"/>
  </w:style>
  <w:style w:type="paragraph" w:customStyle="1" w:styleId="20">
    <w:name w:val="4正文"/>
    <w:basedOn w:val="1"/>
    <w:qFormat/>
    <w:uiPriority w:val="0"/>
    <w:pPr>
      <w:spacing w:line="460" w:lineRule="exact"/>
    </w:pPr>
    <w:rPr>
      <w:rFonts w:ascii="Times New Roman" w:hAnsi="Times New Roman" w:eastAsia="仿宋"/>
      <w:sz w:val="28"/>
    </w:rPr>
  </w:style>
  <w:style w:type="paragraph" w:customStyle="1" w:styleId="21">
    <w:name w:val="p0"/>
    <w:qFormat/>
    <w:uiPriority w:val="0"/>
    <w:rPr>
      <w:rFonts w:ascii="Calibri" w:hAnsi="Calibri" w:eastAsia="宋体" w:cs="Times New Roman"/>
      <w:sz w:val="32"/>
      <w:szCs w:val="32"/>
      <w:lang w:val="en-US" w:eastAsia="zh-CN" w:bidi="ar-SA"/>
    </w:rPr>
  </w:style>
  <w:style w:type="paragraph" w:customStyle="1" w:styleId="22">
    <w:name w:val="正文文本1"/>
    <w:basedOn w:val="1"/>
    <w:qFormat/>
    <w:uiPriority w:val="0"/>
    <w:pPr>
      <w:shd w:val="clear" w:color="auto" w:fill="FFFFFF"/>
      <w:spacing w:before="540" w:after="1200" w:line="0" w:lineRule="atLeast"/>
      <w:ind w:hanging="980"/>
      <w:jc w:val="center"/>
    </w:pPr>
    <w:rPr>
      <w:rFonts w:ascii="宋体" w:hAnsi="宋体" w:eastAsia="宋体" w:cs="宋体"/>
      <w:spacing w:val="20"/>
      <w:sz w:val="30"/>
      <w:szCs w:val="30"/>
    </w:rPr>
  </w:style>
  <w:style w:type="character" w:customStyle="1" w:styleId="23">
    <w:name w:val="rec-status-desc"/>
    <w:basedOn w:val="16"/>
    <w:qFormat/>
    <w:uiPriority w:val="0"/>
  </w:style>
  <w:style w:type="character" w:customStyle="1" w:styleId="24">
    <w:name w:val="rec-volume"/>
    <w:basedOn w:val="16"/>
    <w:qFormat/>
    <w:uiPriority w:val="0"/>
  </w:style>
  <w:style w:type="character" w:customStyle="1" w:styleId="25">
    <w:name w:val="rec-time"/>
    <w:basedOn w:val="16"/>
    <w:qFormat/>
    <w:uiPriority w:val="0"/>
  </w:style>
  <w:style w:type="paragraph" w:customStyle="1" w:styleId="26">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27">
    <w:name w:val="内容"/>
    <w:basedOn w:val="1"/>
    <w:qFormat/>
    <w:uiPriority w:val="99"/>
    <w:pPr>
      <w:ind w:firstLine="200" w:firstLineChars="200"/>
    </w:pPr>
    <w:rPr>
      <w:rFonts w:ascii="宋体" w:cs="宋体"/>
      <w:sz w:val="28"/>
      <w:szCs w:val="28"/>
    </w:rPr>
  </w:style>
  <w:style w:type="paragraph" w:customStyle="1" w:styleId="28">
    <w:name w:val="Body text|3"/>
    <w:basedOn w:val="1"/>
    <w:qFormat/>
    <w:uiPriority w:val="0"/>
    <w:rPr>
      <w:b/>
      <w:bCs/>
      <w:sz w:val="9"/>
      <w:szCs w:val="9"/>
    </w:rPr>
  </w:style>
  <w:style w:type="paragraph" w:styleId="29">
    <w:name w:val="List Paragraph"/>
    <w:basedOn w:val="1"/>
    <w:unhideWhenUsed/>
    <w:qFormat/>
    <w:uiPriority w:val="99"/>
    <w:pPr>
      <w:ind w:firstLine="420" w:firstLineChars="200"/>
    </w:pPr>
  </w:style>
  <w:style w:type="character" w:customStyle="1" w:styleId="30">
    <w:name w:val="页脚 Char"/>
    <w:basedOn w:val="16"/>
    <w:link w:val="11"/>
    <w:qFormat/>
    <w:uiPriority w:val="99"/>
    <w:rPr>
      <w:rFonts w:asciiTheme="minorHAnsi" w:hAnsiTheme="minorHAnsi" w:eastAsiaTheme="minorEastAsia" w:cstheme="minorBidi"/>
      <w:kern w:val="2"/>
      <w:sz w:val="18"/>
      <w:szCs w:val="24"/>
    </w:rPr>
  </w:style>
  <w:style w:type="character" w:customStyle="1" w:styleId="31">
    <w:name w:val="日期 Char"/>
    <w:basedOn w:val="16"/>
    <w:link w:val="10"/>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477</Words>
  <Characters>2722</Characters>
  <Lines>22</Lines>
  <Paragraphs>6</Paragraphs>
  <TotalTime>95</TotalTime>
  <ScaleCrop>false</ScaleCrop>
  <LinksUpToDate>false</LinksUpToDate>
  <CharactersWithSpaces>3193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2023-01-29T11:25:00Z</dcterms:created>
  <dc:creator>和玉印刷（王磊）</dc:creator>
  <cp:lastModifiedBy>user</cp:lastModifiedBy>
  <cp:lastPrinted>2023-03-20T07:36:00Z</cp:lastPrinted>
  <dcterms:modified xsi:type="dcterms:W3CDTF">2024-03-31T16:15:43Z</dcterms:modified>
  <dc:title>新疆维吾尔自治区和田地区自然资源局</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