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val="0"/>
        <w:overflowPunct/>
        <w:topLinePunct w:val="0"/>
        <w:autoSpaceDE w:val="0"/>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color w:val="auto"/>
          <w:kern w:val="0"/>
          <w:sz w:val="44"/>
          <w:szCs w:val="44"/>
          <w:shd w:val="clear" w:color="auto" w:fill="FFFFFF"/>
        </w:rPr>
      </w:pPr>
      <w:r>
        <w:rPr>
          <w:rFonts w:hint="eastAsia" w:ascii="方正小标宋简体" w:hAnsi="方正小标宋简体" w:eastAsia="方正小标宋简体" w:cs="方正小标宋简体"/>
          <w:color w:val="auto"/>
          <w:kern w:val="0"/>
          <w:sz w:val="44"/>
          <w:szCs w:val="44"/>
          <w:shd w:val="clear" w:color="auto" w:fill="FFFFFF"/>
        </w:rPr>
        <w:t>和田地区信访局2022年政府信息</w:t>
      </w:r>
    </w:p>
    <w:p>
      <w:pPr>
        <w:keepNext w:val="0"/>
        <w:keepLines w:val="0"/>
        <w:pageBreakBefore w:val="0"/>
        <w:widowControl/>
        <w:kinsoku/>
        <w:wordWrap w:val="0"/>
        <w:overflowPunct/>
        <w:topLinePunct w:val="0"/>
        <w:autoSpaceDE w:val="0"/>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color w:val="auto"/>
          <w:kern w:val="0"/>
          <w:sz w:val="44"/>
          <w:szCs w:val="44"/>
          <w:shd w:val="clear" w:color="auto" w:fill="FFFFFF"/>
        </w:rPr>
      </w:pPr>
      <w:r>
        <w:rPr>
          <w:rFonts w:hint="eastAsia" w:ascii="方正小标宋简体" w:hAnsi="方正小标宋简体" w:eastAsia="方正小标宋简体" w:cs="方正小标宋简体"/>
          <w:color w:val="auto"/>
          <w:kern w:val="0"/>
          <w:sz w:val="44"/>
          <w:szCs w:val="44"/>
          <w:shd w:val="clear" w:color="auto" w:fill="FFFFFF"/>
        </w:rPr>
        <w:t>公开工作年度报告</w:t>
      </w:r>
    </w:p>
    <w:p>
      <w:pPr>
        <w:keepNext w:val="0"/>
        <w:keepLines w:val="0"/>
        <w:pageBreakBefore w:val="0"/>
        <w:widowControl/>
        <w:kinsoku/>
        <w:wordWrap w:val="0"/>
        <w:overflowPunct/>
        <w:topLinePunct w:val="0"/>
        <w:autoSpaceDE w:val="0"/>
        <w:autoSpaceDN/>
        <w:bidi w:val="0"/>
        <w:adjustRightInd/>
        <w:snapToGrid/>
        <w:spacing w:line="520" w:lineRule="exact"/>
        <w:ind w:firstLine="640" w:firstLineChars="200"/>
        <w:jc w:val="left"/>
        <w:textAlignment w:val="auto"/>
        <w:outlineLvl w:val="9"/>
        <w:rPr>
          <w:rFonts w:hint="eastAsia" w:ascii="仿宋_GB2312" w:hAnsi="仿宋_GB2312" w:eastAsia="仿宋_GB2312" w:cs="宋体"/>
          <w:color w:val="auto"/>
          <w:kern w:val="0"/>
          <w:sz w:val="32"/>
          <w:szCs w:val="32"/>
          <w:shd w:val="clear" w:color="auto" w:fill="FFFFFF"/>
        </w:rPr>
      </w:pPr>
    </w:p>
    <w:p>
      <w:pPr>
        <w:keepNext w:val="0"/>
        <w:keepLines w:val="0"/>
        <w:pageBreakBefore w:val="0"/>
        <w:widowControl/>
        <w:kinsoku/>
        <w:wordWrap w:val="0"/>
        <w:overflowPunct/>
        <w:topLinePunct w:val="0"/>
        <w:autoSpaceDE w:val="0"/>
        <w:autoSpaceDN/>
        <w:bidi w:val="0"/>
        <w:adjustRightInd/>
        <w:snapToGrid/>
        <w:spacing w:line="520" w:lineRule="exact"/>
        <w:ind w:firstLine="640" w:firstLineChars="200"/>
        <w:jc w:val="both"/>
        <w:textAlignment w:val="auto"/>
        <w:outlineLvl w:val="9"/>
        <w:rPr>
          <w:rFonts w:hint="eastAsia" w:ascii="仿宋_GB2312" w:hAnsi="仿宋_GB2312" w:eastAsia="仿宋_GB2312" w:cs="宋体"/>
          <w:color w:val="auto"/>
          <w:kern w:val="0"/>
          <w:sz w:val="32"/>
          <w:szCs w:val="32"/>
          <w:shd w:val="clear" w:color="auto" w:fill="FFFFFF"/>
        </w:rPr>
      </w:pPr>
      <w:r>
        <w:rPr>
          <w:rFonts w:hint="eastAsia" w:ascii="仿宋_GB2312" w:hAnsi="仿宋_GB2312" w:eastAsia="仿宋_GB2312" w:cs="宋体"/>
          <w:color w:val="auto"/>
          <w:kern w:val="0"/>
          <w:sz w:val="32"/>
          <w:szCs w:val="32"/>
          <w:shd w:val="clear" w:color="auto" w:fill="FFFFFF"/>
        </w:rPr>
        <w:t>根据《中华人民共和国政府信息公开条例》（以下简称《政府信息公开条例》）《中华人民共和国政府信息公开工作年度报告格式》（国办公开办函[2021]30号）和《关于做好2022年政府信息公开工作年度报告编制工作的函》（和行办函[2023]128号）文件要求，现将地区信访局2022年政府信息公开工作报告如下：</w:t>
      </w:r>
    </w:p>
    <w:p>
      <w:pPr>
        <w:keepNext w:val="0"/>
        <w:keepLines w:val="0"/>
        <w:pageBreakBefore w:val="0"/>
        <w:widowControl/>
        <w:kinsoku/>
        <w:wordWrap w:val="0"/>
        <w:overflowPunct/>
        <w:topLinePunct w:val="0"/>
        <w:autoSpaceDE w:val="0"/>
        <w:autoSpaceDN/>
        <w:bidi w:val="0"/>
        <w:adjustRightInd/>
        <w:snapToGrid/>
        <w:spacing w:line="520" w:lineRule="exact"/>
        <w:ind w:firstLine="640" w:firstLineChars="200"/>
        <w:jc w:val="left"/>
        <w:textAlignment w:val="auto"/>
        <w:outlineLvl w:val="9"/>
        <w:rPr>
          <w:rFonts w:hint="eastAsia" w:ascii="方正黑体_GBK" w:hAnsi="方正黑体_GBK" w:eastAsia="方正黑体_GBK" w:cs="方正黑体_GBK"/>
          <w:color w:val="auto"/>
          <w:kern w:val="0"/>
          <w:sz w:val="32"/>
          <w:szCs w:val="32"/>
          <w:shd w:val="clear" w:color="auto" w:fill="FFFFFF"/>
        </w:rPr>
      </w:pPr>
      <w:r>
        <w:rPr>
          <w:rFonts w:hint="eastAsia" w:ascii="黑体" w:hAnsi="黑体" w:eastAsia="黑体" w:cs="方正黑体_GBK"/>
          <w:color w:val="auto"/>
          <w:kern w:val="0"/>
          <w:sz w:val="32"/>
          <w:szCs w:val="32"/>
          <w:shd w:val="clear" w:color="auto" w:fill="FFFFFF"/>
        </w:rPr>
        <w:t>一、总体情况</w:t>
      </w:r>
    </w:p>
    <w:p>
      <w:pPr>
        <w:keepNext w:val="0"/>
        <w:keepLines w:val="0"/>
        <w:pageBreakBefore w:val="0"/>
        <w:widowControl/>
        <w:kinsoku/>
        <w:wordWrap w:val="0"/>
        <w:overflowPunct/>
        <w:topLinePunct w:val="0"/>
        <w:autoSpaceDE w:val="0"/>
        <w:autoSpaceDN/>
        <w:bidi w:val="0"/>
        <w:adjustRightInd/>
        <w:snapToGrid/>
        <w:spacing w:line="520" w:lineRule="exact"/>
        <w:ind w:firstLine="640" w:firstLineChars="200"/>
        <w:jc w:val="both"/>
        <w:textAlignment w:val="auto"/>
        <w:outlineLvl w:val="9"/>
        <w:rPr>
          <w:rFonts w:hint="eastAsia" w:ascii="仿宋_GB2312" w:hAnsi="仿宋_GB2312" w:eastAsia="仿宋_GB2312" w:cs="宋体"/>
          <w:color w:val="auto"/>
          <w:kern w:val="0"/>
          <w:sz w:val="32"/>
          <w:szCs w:val="32"/>
          <w:shd w:val="clear" w:color="auto" w:fill="FFFFFF"/>
        </w:rPr>
      </w:pPr>
      <w:r>
        <w:rPr>
          <w:rFonts w:hint="eastAsia" w:ascii="仿宋_GB2312" w:hAnsi="仿宋_GB2312" w:eastAsia="仿宋_GB2312" w:cs="宋体"/>
          <w:color w:val="auto"/>
          <w:kern w:val="0"/>
          <w:sz w:val="32"/>
          <w:szCs w:val="32"/>
          <w:shd w:val="clear" w:color="auto" w:fill="FFFFFF"/>
        </w:rPr>
        <w:t>2022年，和田地区信访局坚持以习近平新时代中国特色社会主义思想为指导，全面贯彻落实党的十九大、十九届历次全会和</w:t>
      </w:r>
      <w:bookmarkStart w:id="0" w:name="_GoBack"/>
      <w:bookmarkEnd w:id="0"/>
      <w:r>
        <w:rPr>
          <w:rFonts w:hint="eastAsia" w:ascii="仿宋_GB2312" w:hAnsi="仿宋_GB2312" w:eastAsia="仿宋_GB2312" w:cs="宋体"/>
          <w:color w:val="auto"/>
          <w:kern w:val="0"/>
          <w:sz w:val="32"/>
          <w:szCs w:val="32"/>
          <w:shd w:val="clear" w:color="auto" w:fill="FFFFFF"/>
        </w:rPr>
        <w:t>二十大精神，认真贯彻执行《政府信息公开条例》，进一步规范和完善政府信息公开工作，推进信访工作更加阳光透明，有效保障了群众知情权。</w:t>
      </w:r>
    </w:p>
    <w:p>
      <w:pPr>
        <w:keepNext w:val="0"/>
        <w:keepLines w:val="0"/>
        <w:pageBreakBefore w:val="0"/>
        <w:widowControl/>
        <w:kinsoku/>
        <w:wordWrap w:val="0"/>
        <w:overflowPunct/>
        <w:topLinePunct w:val="0"/>
        <w:autoSpaceDE w:val="0"/>
        <w:autoSpaceDN/>
        <w:bidi w:val="0"/>
        <w:adjustRightInd/>
        <w:snapToGrid/>
        <w:spacing w:line="520" w:lineRule="exact"/>
        <w:ind w:firstLine="640" w:firstLineChars="200"/>
        <w:jc w:val="both"/>
        <w:textAlignment w:val="auto"/>
        <w:outlineLvl w:val="9"/>
        <w:rPr>
          <w:rFonts w:hint="eastAsia" w:ascii="仿宋_GB2312" w:hAnsi="仿宋_GB2312" w:eastAsia="仿宋_GB2312" w:cs="宋体"/>
          <w:color w:val="auto"/>
          <w:kern w:val="0"/>
          <w:sz w:val="32"/>
          <w:szCs w:val="32"/>
          <w:shd w:val="clear" w:color="auto" w:fill="FFFFFF"/>
        </w:rPr>
      </w:pPr>
      <w:r>
        <w:rPr>
          <w:rFonts w:hint="eastAsia" w:ascii="楷体_GB2312" w:hAnsi="楷体_GB2312" w:eastAsia="楷体_GB2312" w:cs="方正楷体_GBK"/>
          <w:color w:val="auto"/>
          <w:kern w:val="0"/>
          <w:sz w:val="32"/>
          <w:szCs w:val="32"/>
          <w:shd w:val="clear" w:color="auto" w:fill="FFFFFF"/>
        </w:rPr>
        <w:t>（一）做好主动公开工作。</w:t>
      </w:r>
      <w:r>
        <w:rPr>
          <w:rFonts w:hint="eastAsia" w:ascii="仿宋_GB2312" w:hAnsi="仿宋_GB2312" w:eastAsia="仿宋_GB2312" w:cs="宋体"/>
          <w:color w:val="auto"/>
          <w:kern w:val="0"/>
          <w:sz w:val="32"/>
          <w:szCs w:val="32"/>
          <w:shd w:val="clear" w:color="auto" w:fill="FFFFFF"/>
        </w:rPr>
        <w:t>地区信访局结合实际，依法主动公开了机构设置情况及其职能、《信访工作条例》、信访接待中心地址、信访热线电话号码、“和田地区网上信访大厅”二维码，为群众及时获取主动公开信息、了解政策法规、及时就地反映问题提供便利，自觉主动接受群众监督，依法保障人民群众的知情权、参与权、监督权。</w:t>
      </w:r>
    </w:p>
    <w:p>
      <w:pPr>
        <w:keepNext w:val="0"/>
        <w:keepLines w:val="0"/>
        <w:pageBreakBefore w:val="0"/>
        <w:widowControl/>
        <w:kinsoku/>
        <w:wordWrap w:val="0"/>
        <w:overflowPunct/>
        <w:topLinePunct w:val="0"/>
        <w:autoSpaceDE w:val="0"/>
        <w:autoSpaceDN/>
        <w:bidi w:val="0"/>
        <w:adjustRightInd/>
        <w:snapToGrid/>
        <w:spacing w:line="520" w:lineRule="exact"/>
        <w:ind w:firstLine="640" w:firstLineChars="200"/>
        <w:jc w:val="both"/>
        <w:textAlignment w:val="auto"/>
        <w:outlineLvl w:val="9"/>
        <w:rPr>
          <w:rFonts w:hint="eastAsia" w:ascii="仿宋_GB2312" w:hAnsi="仿宋_GB2312" w:eastAsia="仿宋_GB2312" w:cs="宋体"/>
          <w:color w:val="auto"/>
          <w:kern w:val="0"/>
          <w:sz w:val="32"/>
          <w:szCs w:val="32"/>
          <w:shd w:val="clear" w:color="auto" w:fill="FFFFFF"/>
        </w:rPr>
      </w:pPr>
      <w:r>
        <w:rPr>
          <w:rFonts w:hint="eastAsia" w:ascii="楷体_GB2312" w:hAnsi="楷体_GB2312" w:eastAsia="楷体_GB2312" w:cs="方正楷体_GBK"/>
          <w:color w:val="auto"/>
          <w:kern w:val="0"/>
          <w:sz w:val="32"/>
          <w:szCs w:val="32"/>
          <w:shd w:val="clear" w:color="auto" w:fill="FFFFFF"/>
        </w:rPr>
        <w:t>（二）做好依申请公开工作。</w:t>
      </w:r>
      <w:r>
        <w:rPr>
          <w:rFonts w:hint="eastAsia" w:ascii="仿宋_GB2312" w:hAnsi="仿宋_GB2312" w:eastAsia="仿宋_GB2312" w:cs="宋体"/>
          <w:color w:val="auto"/>
          <w:kern w:val="0"/>
          <w:sz w:val="32"/>
          <w:szCs w:val="32"/>
          <w:shd w:val="clear" w:color="auto" w:fill="FFFFFF"/>
        </w:rPr>
        <w:t>严格按照《政府信息公开条例》办理依申请公开信息，进一步理顺和完善政府信息公开申请渠道，规范答复行为，规范登记、审核、办理、答复、归档的工作制度，做好《政府信息公开条例》的宣传和解释工作。2022年，和田地区信访局未收到政府信息公开申请。</w:t>
      </w:r>
    </w:p>
    <w:p>
      <w:pPr>
        <w:keepNext w:val="0"/>
        <w:keepLines w:val="0"/>
        <w:pageBreakBefore w:val="0"/>
        <w:widowControl/>
        <w:kinsoku/>
        <w:wordWrap w:val="0"/>
        <w:overflowPunct/>
        <w:topLinePunct w:val="0"/>
        <w:autoSpaceDE w:val="0"/>
        <w:autoSpaceDN/>
        <w:bidi w:val="0"/>
        <w:adjustRightInd/>
        <w:snapToGrid/>
        <w:spacing w:line="520" w:lineRule="exact"/>
        <w:ind w:firstLine="640" w:firstLineChars="200"/>
        <w:jc w:val="left"/>
        <w:textAlignment w:val="auto"/>
        <w:outlineLvl w:val="9"/>
        <w:rPr>
          <w:rFonts w:hint="eastAsia" w:ascii="仿宋_GB2312" w:hAnsi="仿宋_GB2312" w:eastAsia="仿宋_GB2312" w:cs="宋体"/>
          <w:color w:val="auto"/>
          <w:kern w:val="0"/>
          <w:sz w:val="32"/>
          <w:szCs w:val="32"/>
          <w:shd w:val="clear" w:color="auto" w:fill="FFFFFF"/>
        </w:rPr>
      </w:pPr>
      <w:r>
        <w:rPr>
          <w:rFonts w:hint="eastAsia" w:ascii="方正楷体_GBK" w:hAnsi="方正楷体_GBK" w:eastAsia="方正楷体_GBK" w:cs="方正楷体_GBK"/>
          <w:color w:val="auto"/>
          <w:kern w:val="0"/>
          <w:sz w:val="32"/>
          <w:szCs w:val="32"/>
          <w:shd w:val="clear" w:color="auto" w:fill="FFFFFF"/>
        </w:rPr>
        <w:t>（三）规范政府信息管理。</w:t>
      </w:r>
      <w:r>
        <w:rPr>
          <w:rFonts w:hint="eastAsia" w:ascii="仿宋_GB2312" w:hAnsi="仿宋_GB2312" w:eastAsia="仿宋_GB2312" w:cs="宋体"/>
          <w:color w:val="auto"/>
          <w:kern w:val="0"/>
          <w:sz w:val="32"/>
          <w:szCs w:val="32"/>
          <w:shd w:val="clear" w:color="auto" w:fill="FFFFFF"/>
        </w:rPr>
        <w:t>加强政府信息资源的规范化、标准化、信息化管理，加强互联网政府信息公开平台建设，推进政府信息公开平台与政务服务平台融合，提高政府信息公开在线办理水平。</w:t>
      </w:r>
    </w:p>
    <w:p>
      <w:pPr>
        <w:keepNext w:val="0"/>
        <w:keepLines w:val="0"/>
        <w:pageBreakBefore w:val="0"/>
        <w:widowControl/>
        <w:kinsoku/>
        <w:wordWrap w:val="0"/>
        <w:overflowPunct/>
        <w:topLinePunct w:val="0"/>
        <w:autoSpaceDE w:val="0"/>
        <w:autoSpaceDN/>
        <w:bidi w:val="0"/>
        <w:adjustRightInd/>
        <w:snapToGrid/>
        <w:spacing w:line="520" w:lineRule="exact"/>
        <w:ind w:firstLine="640" w:firstLineChars="200"/>
        <w:jc w:val="left"/>
        <w:textAlignment w:val="auto"/>
        <w:outlineLvl w:val="9"/>
        <w:rPr>
          <w:rFonts w:hint="eastAsia" w:ascii="仿宋_GB2312" w:hAnsi="仿宋_GB2312" w:eastAsia="仿宋_GB2312" w:cs="宋体"/>
          <w:color w:val="auto"/>
          <w:kern w:val="0"/>
          <w:sz w:val="32"/>
          <w:szCs w:val="32"/>
          <w:shd w:val="clear" w:color="auto" w:fill="FFFFFF"/>
        </w:rPr>
      </w:pPr>
      <w:r>
        <w:rPr>
          <w:rFonts w:hint="eastAsia" w:ascii="方正楷体_GBK" w:hAnsi="方正楷体_GBK" w:eastAsia="方正楷体_GBK" w:cs="方正楷体_GBK"/>
          <w:color w:val="auto"/>
          <w:kern w:val="0"/>
          <w:sz w:val="32"/>
          <w:szCs w:val="32"/>
          <w:shd w:val="clear" w:color="auto" w:fill="FFFFFF"/>
        </w:rPr>
        <w:t>（四）优化完善平台建设。</w:t>
      </w:r>
      <w:r>
        <w:rPr>
          <w:rFonts w:hint="eastAsia" w:ascii="仿宋_GB2312" w:hAnsi="仿宋_GB2312" w:eastAsia="仿宋_GB2312" w:cs="宋体"/>
          <w:color w:val="auto"/>
          <w:kern w:val="0"/>
          <w:sz w:val="32"/>
          <w:szCs w:val="32"/>
          <w:shd w:val="clear" w:color="auto" w:fill="FFFFFF"/>
        </w:rPr>
        <w:t>按照《国务院办公厅政府信息与政务公开办公室关于规范政府信息公开平台有关事项的通知》要求，完善了和田地区网上信访大厅相关公开内容。结合信访工作实际，加大网上信访宣传力度，积极引导群众通过网上信访反映诉求、提出意见建议；进一步完善“信访网上投、事项网上办、结果网上评、问题网上督、形势网上判”的工作模式，网上信访更加便利、高效，信访人通过网络可全程了解信访事项受理办理情况，并进行满意度评价，办理过程公开透明，切实依法维护、保障人民群众的合法权益。</w:t>
      </w:r>
    </w:p>
    <w:p>
      <w:pPr>
        <w:keepNext w:val="0"/>
        <w:keepLines w:val="0"/>
        <w:pageBreakBefore w:val="0"/>
        <w:widowControl/>
        <w:kinsoku/>
        <w:wordWrap w:val="0"/>
        <w:overflowPunct/>
        <w:topLinePunct w:val="0"/>
        <w:autoSpaceDE w:val="0"/>
        <w:autoSpaceDN/>
        <w:bidi w:val="0"/>
        <w:adjustRightInd/>
        <w:snapToGrid/>
        <w:spacing w:line="520" w:lineRule="exact"/>
        <w:ind w:firstLine="640" w:firstLineChars="200"/>
        <w:jc w:val="left"/>
        <w:textAlignment w:val="auto"/>
        <w:outlineLvl w:val="9"/>
        <w:rPr>
          <w:rFonts w:hint="eastAsia" w:ascii="仿宋_GB2312" w:hAnsi="仿宋_GB2312" w:eastAsia="仿宋_GB2312" w:cs="宋体"/>
          <w:color w:val="auto"/>
          <w:kern w:val="0"/>
          <w:sz w:val="32"/>
          <w:szCs w:val="32"/>
          <w:shd w:val="clear" w:color="auto" w:fill="FFFFFF"/>
        </w:rPr>
      </w:pPr>
      <w:r>
        <w:rPr>
          <w:rFonts w:hint="eastAsia" w:ascii="方正楷体_GBK" w:hAnsi="方正楷体_GBK" w:eastAsia="方正楷体_GBK" w:cs="方正楷体_GBK"/>
          <w:color w:val="auto"/>
          <w:kern w:val="0"/>
          <w:sz w:val="32"/>
          <w:szCs w:val="32"/>
          <w:shd w:val="clear" w:color="auto" w:fill="FFFFFF"/>
        </w:rPr>
        <w:t>（五）加强监督保障。</w:t>
      </w:r>
      <w:r>
        <w:rPr>
          <w:rFonts w:hint="eastAsia" w:ascii="仿宋_GB2312" w:hAnsi="仿宋_GB2312" w:eastAsia="仿宋_GB2312" w:cs="宋体"/>
          <w:color w:val="auto"/>
          <w:kern w:val="0"/>
          <w:sz w:val="32"/>
          <w:szCs w:val="32"/>
          <w:shd w:val="clear" w:color="auto" w:fill="FFFFFF"/>
        </w:rPr>
        <w:t>按照《政府信息公开条例》要求，进一步严格政府信息公开审查机制。政府信息发布前，严格按照《三校三审》和保密工作要求，由承办政府信息公开工作机构、保密部门、电子政务部门层层审核，确保准确无误。</w:t>
      </w:r>
    </w:p>
    <w:p>
      <w:pPr>
        <w:keepNext w:val="0"/>
        <w:keepLines w:val="0"/>
        <w:pageBreakBefore w:val="0"/>
        <w:widowControl/>
        <w:kinsoku/>
        <w:wordWrap w:val="0"/>
        <w:overflowPunct/>
        <w:topLinePunct w:val="0"/>
        <w:autoSpaceDE w:val="0"/>
        <w:autoSpaceDN/>
        <w:bidi w:val="0"/>
        <w:adjustRightInd/>
        <w:snapToGrid/>
        <w:spacing w:line="520" w:lineRule="exact"/>
        <w:ind w:firstLine="640" w:firstLineChars="200"/>
        <w:jc w:val="left"/>
        <w:textAlignment w:val="auto"/>
        <w:outlineLvl w:val="9"/>
        <w:rPr>
          <w:rFonts w:hint="eastAsia" w:ascii="方正黑体_GBK" w:hAnsi="方正黑体_GBK" w:eastAsia="方正黑体_GBK" w:cs="方正黑体_GBK"/>
          <w:color w:val="auto"/>
          <w:kern w:val="0"/>
          <w:sz w:val="32"/>
          <w:szCs w:val="32"/>
          <w:shd w:val="clear" w:color="auto" w:fill="FFFFFF"/>
        </w:rPr>
      </w:pPr>
      <w:r>
        <w:rPr>
          <w:rFonts w:hint="eastAsia" w:ascii="方正黑体_GBK" w:hAnsi="方正黑体_GBK" w:eastAsia="方正黑体_GBK" w:cs="方正黑体_GBK"/>
          <w:color w:val="auto"/>
          <w:kern w:val="0"/>
          <w:sz w:val="32"/>
          <w:szCs w:val="32"/>
          <w:shd w:val="clear" w:color="auto" w:fill="FFFFFF"/>
          <w:lang w:eastAsia="zh-CN"/>
        </w:rPr>
        <w:t>二、</w:t>
      </w:r>
      <w:r>
        <w:rPr>
          <w:rFonts w:hint="eastAsia" w:ascii="方正黑体_GBK" w:hAnsi="方正黑体_GBK" w:eastAsia="方正黑体_GBK" w:cs="方正黑体_GBK"/>
          <w:color w:val="auto"/>
          <w:kern w:val="0"/>
          <w:sz w:val="32"/>
          <w:szCs w:val="32"/>
          <w:shd w:val="clear" w:color="auto" w:fill="FFFFFF"/>
        </w:rPr>
        <w:t>主动公开政府信息情况</w:t>
      </w:r>
    </w:p>
    <w:tbl>
      <w:tblPr>
        <w:tblStyle w:val="10"/>
        <w:tblW w:w="8460" w:type="dxa"/>
        <w:jc w:val="center"/>
        <w:tblInd w:w="0" w:type="dxa"/>
        <w:tblLayout w:type="fixed"/>
        <w:tblCellMar>
          <w:top w:w="0" w:type="dxa"/>
          <w:left w:w="0" w:type="dxa"/>
          <w:bottom w:w="0" w:type="dxa"/>
          <w:right w:w="0" w:type="dxa"/>
        </w:tblCellMar>
      </w:tblPr>
      <w:tblGrid>
        <w:gridCol w:w="2201"/>
        <w:gridCol w:w="2037"/>
        <w:gridCol w:w="2214"/>
        <w:gridCol w:w="2008"/>
      </w:tblGrid>
      <w:tr>
        <w:tblPrEx>
          <w:tblLayout w:type="fixed"/>
          <w:tblCellMar>
            <w:top w:w="0" w:type="dxa"/>
            <w:left w:w="0" w:type="dxa"/>
            <w:bottom w:w="0" w:type="dxa"/>
            <w:right w:w="0" w:type="dxa"/>
          </w:tblCellMar>
        </w:tblPrEx>
        <w:trPr>
          <w:trHeight w:val="334" w:hRule="atLeast"/>
          <w:jc w:val="center"/>
        </w:trPr>
        <w:tc>
          <w:tcPr>
            <w:tcW w:w="846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宋体" w:hAnsi="宋体" w:cs="宋体"/>
                <w:color w:val="auto"/>
                <w:kern w:val="0"/>
                <w:sz w:val="21"/>
                <w:szCs w:val="21"/>
              </w:rPr>
            </w:pPr>
            <w:r>
              <w:rPr>
                <w:rFonts w:hint="eastAsia" w:ascii="宋体" w:hAnsi="宋体" w:cs="宋体"/>
                <w:color w:val="auto"/>
                <w:kern w:val="0"/>
                <w:sz w:val="21"/>
                <w:szCs w:val="21"/>
              </w:rPr>
              <w:t>第二十条第（一）项</w:t>
            </w:r>
          </w:p>
        </w:tc>
      </w:tr>
      <w:tr>
        <w:tblPrEx>
          <w:tblLayout w:type="fixed"/>
          <w:tblCellMar>
            <w:top w:w="0" w:type="dxa"/>
            <w:left w:w="0" w:type="dxa"/>
            <w:bottom w:w="0" w:type="dxa"/>
            <w:right w:w="0" w:type="dxa"/>
          </w:tblCellMar>
        </w:tblPrEx>
        <w:trPr>
          <w:trHeight w:val="305" w:hRule="atLeast"/>
          <w:jc w:val="center"/>
        </w:trPr>
        <w:tc>
          <w:tcPr>
            <w:tcW w:w="2201"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宋体" w:hAnsi="宋体" w:cs="宋体"/>
                <w:color w:val="auto"/>
                <w:kern w:val="0"/>
                <w:sz w:val="21"/>
                <w:szCs w:val="21"/>
              </w:rPr>
            </w:pPr>
            <w:r>
              <w:rPr>
                <w:rFonts w:hint="eastAsia" w:ascii="宋体" w:hAnsi="宋体" w:cs="宋体"/>
                <w:color w:val="auto"/>
                <w:kern w:val="0"/>
                <w:sz w:val="21"/>
                <w:szCs w:val="21"/>
              </w:rPr>
              <w:t>信息内容</w:t>
            </w:r>
          </w:p>
        </w:tc>
        <w:tc>
          <w:tcPr>
            <w:tcW w:w="2037"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宋体" w:hAnsi="宋体" w:cs="宋体"/>
                <w:color w:val="auto"/>
                <w:kern w:val="0"/>
                <w:sz w:val="21"/>
                <w:szCs w:val="21"/>
              </w:rPr>
            </w:pPr>
            <w:r>
              <w:rPr>
                <w:rFonts w:hint="eastAsia" w:ascii="宋体" w:hAnsi="宋体" w:cs="宋体"/>
                <w:color w:val="auto"/>
                <w:kern w:val="0"/>
                <w:sz w:val="21"/>
                <w:szCs w:val="21"/>
              </w:rPr>
              <w:t>本年</w:t>
            </w:r>
            <w:r>
              <w:rPr>
                <w:rFonts w:ascii="宋体" w:hAnsi="宋体" w:cs="Calibri"/>
                <w:color w:val="auto"/>
                <w:kern w:val="0"/>
                <w:sz w:val="21"/>
                <w:szCs w:val="21"/>
              </w:rPr>
              <w:t>制</w:t>
            </w:r>
            <w:r>
              <w:rPr>
                <w:rFonts w:hint="eastAsia" w:ascii="宋体" w:hAnsi="宋体" w:cs="宋体"/>
                <w:color w:val="auto"/>
                <w:kern w:val="0"/>
                <w:sz w:val="21"/>
                <w:szCs w:val="21"/>
              </w:rPr>
              <w:t>发件</w:t>
            </w:r>
            <w:r>
              <w:rPr>
                <w:rFonts w:ascii="宋体" w:hAnsi="宋体" w:cs="Calibri"/>
                <w:color w:val="auto"/>
                <w:kern w:val="0"/>
                <w:sz w:val="21"/>
                <w:szCs w:val="21"/>
              </w:rPr>
              <w:t>数</w:t>
            </w:r>
          </w:p>
        </w:tc>
        <w:tc>
          <w:tcPr>
            <w:tcW w:w="2214"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宋体" w:hAnsi="宋体" w:cs="宋体"/>
                <w:color w:val="auto"/>
                <w:kern w:val="0"/>
                <w:sz w:val="21"/>
                <w:szCs w:val="21"/>
              </w:rPr>
            </w:pPr>
            <w:r>
              <w:rPr>
                <w:rFonts w:hint="eastAsia" w:ascii="宋体" w:hAnsi="宋体" w:cs="宋体"/>
                <w:color w:val="auto"/>
                <w:kern w:val="0"/>
                <w:sz w:val="21"/>
                <w:szCs w:val="21"/>
              </w:rPr>
              <w:t>本年废止件数</w:t>
            </w:r>
          </w:p>
        </w:tc>
        <w:tc>
          <w:tcPr>
            <w:tcW w:w="200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宋体" w:hAnsi="宋体" w:cs="宋体"/>
                <w:color w:val="auto"/>
                <w:kern w:val="0"/>
                <w:sz w:val="21"/>
                <w:szCs w:val="21"/>
              </w:rPr>
            </w:pPr>
            <w:r>
              <w:rPr>
                <w:rFonts w:hint="eastAsia" w:ascii="宋体" w:hAnsi="宋体" w:cs="宋体"/>
                <w:color w:val="auto"/>
                <w:kern w:val="0"/>
                <w:sz w:val="21"/>
                <w:szCs w:val="21"/>
              </w:rPr>
              <w:t>现行有效件</w:t>
            </w:r>
            <w:r>
              <w:rPr>
                <w:rFonts w:ascii="宋体" w:hAnsi="宋体" w:cs="Calibri"/>
                <w:color w:val="auto"/>
                <w:kern w:val="0"/>
                <w:sz w:val="21"/>
                <w:szCs w:val="21"/>
              </w:rPr>
              <w:t>数</w:t>
            </w:r>
          </w:p>
        </w:tc>
      </w:tr>
      <w:tr>
        <w:tblPrEx>
          <w:tblLayout w:type="fixed"/>
          <w:tblCellMar>
            <w:top w:w="0" w:type="dxa"/>
            <w:left w:w="0" w:type="dxa"/>
            <w:bottom w:w="0" w:type="dxa"/>
            <w:right w:w="0" w:type="dxa"/>
          </w:tblCellMar>
        </w:tblPrEx>
        <w:trPr>
          <w:trHeight w:val="241" w:hRule="atLeast"/>
          <w:jc w:val="center"/>
        </w:trPr>
        <w:tc>
          <w:tcPr>
            <w:tcW w:w="2201"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规章</w:t>
            </w:r>
          </w:p>
        </w:tc>
        <w:tc>
          <w:tcPr>
            <w:tcW w:w="2037"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outlineLvl w:val="9"/>
              <w:rPr>
                <w:rFonts w:ascii="宋体"/>
                <w:color w:val="auto"/>
                <w:sz w:val="21"/>
                <w:szCs w:val="21"/>
              </w:rPr>
            </w:pPr>
            <w:r>
              <w:rPr>
                <w:rFonts w:hint="eastAsia" w:ascii="宋体" w:hAnsi="宋体" w:cs="宋体"/>
                <w:color w:val="auto"/>
                <w:kern w:val="0"/>
                <w:sz w:val="21"/>
                <w:szCs w:val="21"/>
              </w:rPr>
              <w:t>0</w:t>
            </w:r>
          </w:p>
        </w:tc>
        <w:tc>
          <w:tcPr>
            <w:tcW w:w="22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outlineLvl w:val="9"/>
              <w:rPr>
                <w:rFonts w:ascii="宋体"/>
                <w:color w:val="auto"/>
                <w:sz w:val="21"/>
                <w:szCs w:val="21"/>
              </w:rPr>
            </w:pPr>
            <w:r>
              <w:rPr>
                <w:rFonts w:hint="eastAsia" w:ascii="宋体" w:hAnsi="宋体" w:cs="宋体"/>
                <w:color w:val="auto"/>
                <w:kern w:val="0"/>
                <w:sz w:val="21"/>
                <w:szCs w:val="21"/>
              </w:rPr>
              <w:t>0</w:t>
            </w:r>
          </w:p>
        </w:tc>
        <w:tc>
          <w:tcPr>
            <w:tcW w:w="200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color w:val="auto"/>
                <w:kern w:val="0"/>
                <w:sz w:val="21"/>
                <w:szCs w:val="21"/>
              </w:rPr>
            </w:pPr>
            <w:r>
              <w:rPr>
                <w:rFonts w:hint="eastAsia" w:ascii="宋体" w:hAnsi="宋体" w:cs="宋体"/>
                <w:color w:val="auto"/>
                <w:kern w:val="0"/>
                <w:sz w:val="21"/>
                <w:szCs w:val="21"/>
              </w:rPr>
              <w:t>0</w:t>
            </w:r>
          </w:p>
        </w:tc>
      </w:tr>
      <w:tr>
        <w:tblPrEx>
          <w:tblLayout w:type="fixed"/>
          <w:tblCellMar>
            <w:top w:w="0" w:type="dxa"/>
            <w:left w:w="0" w:type="dxa"/>
            <w:bottom w:w="0" w:type="dxa"/>
            <w:right w:w="0" w:type="dxa"/>
          </w:tblCellMar>
        </w:tblPrEx>
        <w:trPr>
          <w:trHeight w:val="225" w:hRule="atLeast"/>
          <w:jc w:val="center"/>
        </w:trPr>
        <w:tc>
          <w:tcPr>
            <w:tcW w:w="2201"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行政规范性文件</w:t>
            </w:r>
          </w:p>
        </w:tc>
        <w:tc>
          <w:tcPr>
            <w:tcW w:w="2037"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outlineLvl w:val="9"/>
              <w:rPr>
                <w:rFonts w:ascii="宋体"/>
                <w:color w:val="auto"/>
                <w:sz w:val="21"/>
                <w:szCs w:val="21"/>
              </w:rPr>
            </w:pPr>
            <w:r>
              <w:rPr>
                <w:rFonts w:hint="eastAsia" w:ascii="宋体" w:hAnsi="宋体" w:cs="宋体"/>
                <w:color w:val="auto"/>
                <w:kern w:val="0"/>
                <w:sz w:val="21"/>
                <w:szCs w:val="21"/>
              </w:rPr>
              <w:t>0</w:t>
            </w:r>
          </w:p>
        </w:tc>
        <w:tc>
          <w:tcPr>
            <w:tcW w:w="2214"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outlineLvl w:val="9"/>
              <w:rPr>
                <w:rFonts w:ascii="宋体"/>
                <w:color w:val="auto"/>
                <w:sz w:val="21"/>
                <w:szCs w:val="21"/>
              </w:rPr>
            </w:pPr>
            <w:r>
              <w:rPr>
                <w:rFonts w:hint="eastAsia" w:ascii="宋体" w:hAnsi="宋体" w:cs="宋体"/>
                <w:color w:val="auto"/>
                <w:kern w:val="0"/>
                <w:sz w:val="21"/>
                <w:szCs w:val="21"/>
              </w:rPr>
              <w:t>0</w:t>
            </w:r>
          </w:p>
        </w:tc>
        <w:tc>
          <w:tcPr>
            <w:tcW w:w="2008"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color w:val="auto"/>
                <w:kern w:val="0"/>
                <w:sz w:val="21"/>
                <w:szCs w:val="21"/>
              </w:rPr>
            </w:pPr>
            <w:r>
              <w:rPr>
                <w:rFonts w:hint="eastAsia" w:ascii="宋体" w:hAnsi="宋体" w:cs="宋体"/>
                <w:color w:val="auto"/>
                <w:kern w:val="0"/>
                <w:sz w:val="21"/>
                <w:szCs w:val="21"/>
              </w:rPr>
              <w:t>0</w:t>
            </w:r>
          </w:p>
        </w:tc>
      </w:tr>
      <w:tr>
        <w:tblPrEx>
          <w:tblLayout w:type="fixed"/>
          <w:tblCellMar>
            <w:top w:w="0" w:type="dxa"/>
            <w:left w:w="0" w:type="dxa"/>
            <w:bottom w:w="0" w:type="dxa"/>
            <w:right w:w="0" w:type="dxa"/>
          </w:tblCellMar>
        </w:tblPrEx>
        <w:trPr>
          <w:trHeight w:val="303" w:hRule="atLeast"/>
          <w:jc w:val="center"/>
        </w:trPr>
        <w:tc>
          <w:tcPr>
            <w:tcW w:w="846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宋体" w:hAnsi="宋体" w:cs="宋体"/>
                <w:color w:val="auto"/>
                <w:kern w:val="0"/>
                <w:sz w:val="21"/>
                <w:szCs w:val="21"/>
              </w:rPr>
            </w:pPr>
            <w:r>
              <w:rPr>
                <w:rFonts w:hint="eastAsia" w:ascii="宋体" w:hAnsi="宋体" w:cs="宋体"/>
                <w:color w:val="auto"/>
                <w:kern w:val="0"/>
                <w:sz w:val="21"/>
                <w:szCs w:val="21"/>
              </w:rPr>
              <w:t>第二十条第（五）项</w:t>
            </w:r>
          </w:p>
        </w:tc>
      </w:tr>
      <w:tr>
        <w:tblPrEx>
          <w:tblLayout w:type="fixed"/>
          <w:tblCellMar>
            <w:top w:w="0" w:type="dxa"/>
            <w:left w:w="0" w:type="dxa"/>
            <w:bottom w:w="0" w:type="dxa"/>
            <w:right w:w="0" w:type="dxa"/>
          </w:tblCellMar>
        </w:tblPrEx>
        <w:trPr>
          <w:trHeight w:val="327" w:hRule="atLeast"/>
          <w:jc w:val="center"/>
        </w:trPr>
        <w:tc>
          <w:tcPr>
            <w:tcW w:w="2201" w:type="dxa"/>
            <w:tcBorders>
              <w:top w:val="nil"/>
              <w:left w:val="single" w:color="auto" w:sz="8" w:space="0"/>
              <w:bottom w:val="single" w:color="auto" w:sz="4"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宋体" w:hAnsi="宋体" w:cs="宋体"/>
                <w:color w:val="auto"/>
                <w:kern w:val="0"/>
                <w:sz w:val="21"/>
                <w:szCs w:val="21"/>
              </w:rPr>
            </w:pPr>
            <w:r>
              <w:rPr>
                <w:rFonts w:hint="eastAsia" w:ascii="宋体" w:hAnsi="宋体" w:cs="宋体"/>
                <w:color w:val="auto"/>
                <w:kern w:val="0"/>
                <w:sz w:val="21"/>
                <w:szCs w:val="21"/>
              </w:rPr>
              <w:t>信息内容</w:t>
            </w:r>
          </w:p>
        </w:tc>
        <w:tc>
          <w:tcPr>
            <w:tcW w:w="6259" w:type="dxa"/>
            <w:gridSpan w:val="3"/>
            <w:tcBorders>
              <w:top w:val="nil"/>
              <w:left w:val="nil"/>
              <w:bottom w:val="single" w:color="auto" w:sz="4"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宋体" w:hAnsi="宋体" w:cs="宋体"/>
                <w:color w:val="auto"/>
                <w:kern w:val="0"/>
                <w:sz w:val="21"/>
                <w:szCs w:val="21"/>
              </w:rPr>
            </w:pPr>
            <w:r>
              <w:rPr>
                <w:rFonts w:hint="eastAsia" w:ascii="宋体" w:hAnsi="宋体" w:cs="宋体"/>
                <w:color w:val="auto"/>
                <w:kern w:val="0"/>
                <w:sz w:val="21"/>
                <w:szCs w:val="21"/>
              </w:rPr>
              <w:t>本年处理决定数量</w:t>
            </w:r>
          </w:p>
        </w:tc>
      </w:tr>
      <w:tr>
        <w:tblPrEx>
          <w:tblLayout w:type="fixed"/>
          <w:tblCellMar>
            <w:top w:w="0" w:type="dxa"/>
            <w:left w:w="0" w:type="dxa"/>
            <w:bottom w:w="0" w:type="dxa"/>
            <w:right w:w="0" w:type="dxa"/>
          </w:tblCellMar>
        </w:tblPrEx>
        <w:trPr>
          <w:trHeight w:val="362" w:hRule="atLeast"/>
          <w:jc w:val="center"/>
        </w:trPr>
        <w:tc>
          <w:tcPr>
            <w:tcW w:w="220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行政许可</w:t>
            </w:r>
          </w:p>
        </w:tc>
        <w:tc>
          <w:tcPr>
            <w:tcW w:w="6259" w:type="dxa"/>
            <w:gridSpan w:val="3"/>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宋体" w:hAnsi="宋体" w:cs="宋体"/>
                <w:color w:val="auto"/>
                <w:kern w:val="0"/>
                <w:sz w:val="21"/>
                <w:szCs w:val="21"/>
              </w:rPr>
            </w:pPr>
            <w:r>
              <w:rPr>
                <w:rFonts w:hint="eastAsia" w:ascii="宋体" w:hAnsi="宋体" w:cs="宋体"/>
                <w:color w:val="auto"/>
                <w:sz w:val="21"/>
                <w:szCs w:val="21"/>
              </w:rPr>
              <w:t>0</w:t>
            </w:r>
          </w:p>
        </w:tc>
      </w:tr>
      <w:tr>
        <w:tblPrEx>
          <w:tblLayout w:type="fixed"/>
          <w:tblCellMar>
            <w:top w:w="0" w:type="dxa"/>
            <w:left w:w="0" w:type="dxa"/>
            <w:bottom w:w="0" w:type="dxa"/>
            <w:right w:w="0" w:type="dxa"/>
          </w:tblCellMar>
        </w:tblPrEx>
        <w:trPr>
          <w:trHeight w:val="282" w:hRule="atLeast"/>
          <w:jc w:val="center"/>
        </w:trPr>
        <w:tc>
          <w:tcPr>
            <w:tcW w:w="8460" w:type="dxa"/>
            <w:gridSpan w:val="4"/>
            <w:tcBorders>
              <w:top w:val="single" w:color="auto" w:sz="4"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宋体" w:hAnsi="宋体" w:cs="宋体"/>
                <w:color w:val="auto"/>
                <w:kern w:val="0"/>
                <w:sz w:val="21"/>
                <w:szCs w:val="21"/>
              </w:rPr>
            </w:pPr>
            <w:r>
              <w:rPr>
                <w:rFonts w:hint="eastAsia" w:ascii="宋体" w:hAnsi="宋体" w:cs="宋体"/>
                <w:color w:val="auto"/>
                <w:kern w:val="0"/>
                <w:sz w:val="21"/>
                <w:szCs w:val="21"/>
              </w:rPr>
              <w:t>第二十条第（六）项</w:t>
            </w:r>
          </w:p>
        </w:tc>
      </w:tr>
      <w:tr>
        <w:tblPrEx>
          <w:tblLayout w:type="fixed"/>
          <w:tblCellMar>
            <w:top w:w="0" w:type="dxa"/>
            <w:left w:w="0" w:type="dxa"/>
            <w:bottom w:w="0" w:type="dxa"/>
            <w:right w:w="0" w:type="dxa"/>
          </w:tblCellMar>
        </w:tblPrEx>
        <w:trPr>
          <w:trHeight w:val="279" w:hRule="atLeast"/>
          <w:jc w:val="center"/>
        </w:trPr>
        <w:tc>
          <w:tcPr>
            <w:tcW w:w="2201"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宋体" w:hAnsi="宋体" w:cs="宋体"/>
                <w:color w:val="auto"/>
                <w:kern w:val="0"/>
                <w:sz w:val="21"/>
                <w:szCs w:val="21"/>
              </w:rPr>
            </w:pPr>
            <w:r>
              <w:rPr>
                <w:rFonts w:hint="eastAsia" w:ascii="宋体" w:hAnsi="宋体" w:cs="宋体"/>
                <w:color w:val="auto"/>
                <w:kern w:val="0"/>
                <w:sz w:val="21"/>
                <w:szCs w:val="21"/>
              </w:rPr>
              <w:t>信息内容</w:t>
            </w:r>
          </w:p>
        </w:tc>
        <w:tc>
          <w:tcPr>
            <w:tcW w:w="6259"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宋体" w:hAnsi="宋体" w:cs="宋体"/>
                <w:color w:val="auto"/>
                <w:kern w:val="0"/>
                <w:sz w:val="21"/>
                <w:szCs w:val="21"/>
              </w:rPr>
            </w:pPr>
            <w:r>
              <w:rPr>
                <w:rFonts w:hint="eastAsia" w:ascii="宋体" w:hAnsi="宋体" w:cs="宋体"/>
                <w:color w:val="auto"/>
                <w:kern w:val="0"/>
                <w:sz w:val="21"/>
                <w:szCs w:val="21"/>
              </w:rPr>
              <w:t>本年处理决定数量</w:t>
            </w:r>
          </w:p>
        </w:tc>
      </w:tr>
      <w:tr>
        <w:tblPrEx>
          <w:tblLayout w:type="fixed"/>
          <w:tblCellMar>
            <w:top w:w="0" w:type="dxa"/>
            <w:left w:w="0" w:type="dxa"/>
            <w:bottom w:w="0" w:type="dxa"/>
            <w:right w:w="0" w:type="dxa"/>
          </w:tblCellMar>
        </w:tblPrEx>
        <w:trPr>
          <w:trHeight w:val="213" w:hRule="atLeast"/>
          <w:jc w:val="center"/>
        </w:trPr>
        <w:tc>
          <w:tcPr>
            <w:tcW w:w="2201"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行政处罚</w:t>
            </w:r>
          </w:p>
        </w:tc>
        <w:tc>
          <w:tcPr>
            <w:tcW w:w="6259"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outlineLvl w:val="9"/>
              <w:rPr>
                <w:rFonts w:ascii="宋体"/>
                <w:color w:val="auto"/>
                <w:sz w:val="21"/>
                <w:szCs w:val="21"/>
              </w:rPr>
            </w:pPr>
            <w:r>
              <w:rPr>
                <w:rFonts w:hint="eastAsia" w:ascii="宋体"/>
                <w:color w:val="auto"/>
                <w:sz w:val="21"/>
                <w:szCs w:val="21"/>
              </w:rPr>
              <w:t>0</w:t>
            </w:r>
          </w:p>
        </w:tc>
      </w:tr>
      <w:tr>
        <w:tblPrEx>
          <w:tblLayout w:type="fixed"/>
          <w:tblCellMar>
            <w:top w:w="0" w:type="dxa"/>
            <w:left w:w="0" w:type="dxa"/>
            <w:bottom w:w="0" w:type="dxa"/>
            <w:right w:w="0" w:type="dxa"/>
          </w:tblCellMar>
        </w:tblPrEx>
        <w:trPr>
          <w:trHeight w:val="308" w:hRule="atLeast"/>
          <w:jc w:val="center"/>
        </w:trPr>
        <w:tc>
          <w:tcPr>
            <w:tcW w:w="2201"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行政强制</w:t>
            </w:r>
          </w:p>
        </w:tc>
        <w:tc>
          <w:tcPr>
            <w:tcW w:w="6259"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outlineLvl w:val="9"/>
              <w:rPr>
                <w:rFonts w:ascii="宋体"/>
                <w:color w:val="auto"/>
                <w:sz w:val="21"/>
                <w:szCs w:val="21"/>
              </w:rPr>
            </w:pPr>
            <w:r>
              <w:rPr>
                <w:rFonts w:hint="eastAsia" w:ascii="宋体"/>
                <w:color w:val="auto"/>
                <w:sz w:val="21"/>
                <w:szCs w:val="21"/>
              </w:rPr>
              <w:t>0</w:t>
            </w:r>
          </w:p>
        </w:tc>
      </w:tr>
      <w:tr>
        <w:tblPrEx>
          <w:tblLayout w:type="fixed"/>
          <w:tblCellMar>
            <w:top w:w="0" w:type="dxa"/>
            <w:left w:w="0" w:type="dxa"/>
            <w:bottom w:w="0" w:type="dxa"/>
            <w:right w:w="0" w:type="dxa"/>
          </w:tblCellMar>
        </w:tblPrEx>
        <w:trPr>
          <w:trHeight w:val="299" w:hRule="atLeast"/>
          <w:jc w:val="center"/>
        </w:trPr>
        <w:tc>
          <w:tcPr>
            <w:tcW w:w="846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宋体" w:hAnsi="宋体" w:cs="宋体"/>
                <w:color w:val="auto"/>
                <w:kern w:val="0"/>
                <w:sz w:val="21"/>
                <w:szCs w:val="21"/>
              </w:rPr>
            </w:pPr>
            <w:r>
              <w:rPr>
                <w:rFonts w:hint="eastAsia" w:ascii="宋体" w:hAnsi="宋体" w:cs="宋体"/>
                <w:color w:val="auto"/>
                <w:kern w:val="0"/>
                <w:sz w:val="21"/>
                <w:szCs w:val="21"/>
              </w:rPr>
              <w:t>第二十条第（八）项</w:t>
            </w:r>
          </w:p>
        </w:tc>
      </w:tr>
      <w:tr>
        <w:tblPrEx>
          <w:tblLayout w:type="fixed"/>
          <w:tblCellMar>
            <w:top w:w="0" w:type="dxa"/>
            <w:left w:w="0" w:type="dxa"/>
            <w:bottom w:w="0" w:type="dxa"/>
            <w:right w:w="0" w:type="dxa"/>
          </w:tblCellMar>
        </w:tblPrEx>
        <w:trPr>
          <w:trHeight w:val="238" w:hRule="atLeast"/>
          <w:jc w:val="center"/>
        </w:trPr>
        <w:tc>
          <w:tcPr>
            <w:tcW w:w="2201"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宋体" w:hAnsi="宋体" w:cs="宋体"/>
                <w:color w:val="auto"/>
                <w:kern w:val="0"/>
                <w:sz w:val="21"/>
                <w:szCs w:val="21"/>
              </w:rPr>
            </w:pPr>
            <w:r>
              <w:rPr>
                <w:rFonts w:hint="eastAsia" w:ascii="宋体" w:hAnsi="宋体" w:cs="宋体"/>
                <w:color w:val="auto"/>
                <w:kern w:val="0"/>
                <w:sz w:val="21"/>
                <w:szCs w:val="21"/>
              </w:rPr>
              <w:t>信息内容</w:t>
            </w:r>
          </w:p>
        </w:tc>
        <w:tc>
          <w:tcPr>
            <w:tcW w:w="6259"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宋体" w:hAnsi="宋体" w:cs="宋体"/>
                <w:color w:val="auto"/>
                <w:kern w:val="0"/>
                <w:sz w:val="21"/>
                <w:szCs w:val="21"/>
              </w:rPr>
            </w:pPr>
            <w:r>
              <w:rPr>
                <w:rFonts w:hint="eastAsia" w:ascii="宋体" w:hAnsi="宋体" w:cs="宋体"/>
                <w:color w:val="auto"/>
                <w:kern w:val="0"/>
                <w:sz w:val="21"/>
                <w:szCs w:val="21"/>
              </w:rPr>
              <w:t>本年收费金额（单位：万元）</w:t>
            </w:r>
          </w:p>
        </w:tc>
      </w:tr>
      <w:tr>
        <w:tblPrEx>
          <w:tblLayout w:type="fixed"/>
          <w:tblCellMar>
            <w:top w:w="0" w:type="dxa"/>
            <w:left w:w="0" w:type="dxa"/>
            <w:bottom w:w="0" w:type="dxa"/>
            <w:right w:w="0" w:type="dxa"/>
          </w:tblCellMar>
        </w:tblPrEx>
        <w:trPr>
          <w:trHeight w:val="314" w:hRule="atLeast"/>
          <w:jc w:val="center"/>
        </w:trPr>
        <w:tc>
          <w:tcPr>
            <w:tcW w:w="2201"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行政事业性收费</w:t>
            </w:r>
          </w:p>
        </w:tc>
        <w:tc>
          <w:tcPr>
            <w:tcW w:w="6259"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outlineLvl w:val="9"/>
              <w:rPr>
                <w:rFonts w:ascii="宋体" w:hAnsi="宋体" w:cs="宋体"/>
                <w:color w:val="auto"/>
                <w:kern w:val="0"/>
                <w:sz w:val="21"/>
                <w:szCs w:val="21"/>
              </w:rPr>
            </w:pPr>
            <w:r>
              <w:rPr>
                <w:rFonts w:hint="eastAsia" w:ascii="宋体" w:hAnsi="宋体" w:cs="宋体"/>
                <w:color w:val="auto"/>
                <w:kern w:val="0"/>
                <w:sz w:val="21"/>
                <w:szCs w:val="21"/>
              </w:rPr>
              <w:t>0</w:t>
            </w:r>
          </w:p>
        </w:tc>
      </w:tr>
    </w:tbl>
    <w:p>
      <w:pPr>
        <w:keepNext w:val="0"/>
        <w:keepLines w:val="0"/>
        <w:pageBreakBefore w:val="0"/>
        <w:widowControl/>
        <w:kinsoku/>
        <w:wordWrap w:val="0"/>
        <w:overflowPunct w:val="0"/>
        <w:topLinePunct/>
        <w:autoSpaceDN/>
        <w:bidi w:val="0"/>
        <w:adjustRightInd/>
        <w:snapToGrid/>
        <w:spacing w:line="560" w:lineRule="exact"/>
        <w:ind w:firstLine="640" w:firstLineChars="200"/>
        <w:jc w:val="left"/>
        <w:textAlignment w:val="auto"/>
        <w:outlineLvl w:val="9"/>
        <w:rPr>
          <w:rFonts w:hint="eastAsia" w:ascii="黑体" w:hAnsi="宋体" w:eastAsia="黑体" w:cs="黑体"/>
          <w:color w:val="auto"/>
          <w:kern w:val="0"/>
          <w:sz w:val="32"/>
          <w:szCs w:val="32"/>
        </w:rPr>
      </w:pPr>
      <w:r>
        <w:rPr>
          <w:rFonts w:hint="eastAsia" w:ascii="方正黑体_GBK" w:hAnsi="方正黑体_GBK" w:eastAsia="方正黑体_GBK" w:cs="方正黑体_GBK"/>
          <w:color w:val="auto"/>
          <w:kern w:val="0"/>
          <w:sz w:val="32"/>
          <w:szCs w:val="32"/>
        </w:rPr>
        <w:t>三、收到和处理政府信息公开申请情况</w:t>
      </w:r>
    </w:p>
    <w:tbl>
      <w:tblPr>
        <w:tblStyle w:val="10"/>
        <w:tblW w:w="8531" w:type="dxa"/>
        <w:jc w:val="center"/>
        <w:tblInd w:w="-7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06"/>
        <w:gridCol w:w="732"/>
        <w:gridCol w:w="2880"/>
        <w:gridCol w:w="605"/>
        <w:gridCol w:w="605"/>
        <w:gridCol w:w="605"/>
        <w:gridCol w:w="605"/>
        <w:gridCol w:w="605"/>
        <w:gridCol w:w="639"/>
        <w:gridCol w:w="64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218" w:type="dxa"/>
            <w:gridSpan w:val="3"/>
            <w:vMerge w:val="restart"/>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color w:val="auto"/>
              </w:rPr>
            </w:pPr>
            <w:r>
              <w:rPr>
                <w:rFonts w:hint="eastAsia" w:ascii="楷体_GB2312" w:hAnsi="楷体_GB2312" w:eastAsia="楷体_GB2312" w:cs="楷体_GB2312"/>
                <w:color w:val="auto"/>
                <w:sz w:val="20"/>
                <w:szCs w:val="20"/>
              </w:rPr>
              <w:t>（本列数据的勾稽关系为：第一项加第二项之和，等于第三项加第四项之和）</w:t>
            </w:r>
          </w:p>
        </w:tc>
        <w:tc>
          <w:tcPr>
            <w:tcW w:w="4313" w:type="dxa"/>
            <w:gridSpan w:val="7"/>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sz w:val="20"/>
                <w:szCs w:val="20"/>
              </w:rPr>
            </w:pPr>
            <w:r>
              <w:rPr>
                <w:color w:val="auto"/>
                <w:sz w:val="20"/>
                <w:szCs w:val="20"/>
              </w:rP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218" w:type="dxa"/>
            <w:gridSpan w:val="3"/>
            <w:vMerge w:val="continue"/>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ind w:firstLine="480" w:firstLineChars="200"/>
              <w:jc w:val="center"/>
              <w:textAlignment w:val="auto"/>
              <w:outlineLvl w:val="9"/>
              <w:rPr>
                <w:rFonts w:ascii="宋体"/>
                <w:color w:val="auto"/>
                <w:sz w:val="24"/>
              </w:rPr>
            </w:pPr>
          </w:p>
        </w:tc>
        <w:tc>
          <w:tcPr>
            <w:tcW w:w="605" w:type="dxa"/>
            <w:vMerge w:val="restart"/>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sz w:val="20"/>
                <w:szCs w:val="20"/>
              </w:rPr>
            </w:pPr>
            <w:r>
              <w:rPr>
                <w:color w:val="auto"/>
                <w:sz w:val="20"/>
                <w:szCs w:val="20"/>
              </w:rPr>
              <w:t>自然人</w:t>
            </w:r>
          </w:p>
        </w:tc>
        <w:tc>
          <w:tcPr>
            <w:tcW w:w="3059" w:type="dxa"/>
            <w:gridSpan w:val="5"/>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sz w:val="20"/>
                <w:szCs w:val="20"/>
              </w:rPr>
            </w:pPr>
            <w:r>
              <w:rPr>
                <w:color w:val="auto"/>
                <w:sz w:val="20"/>
                <w:szCs w:val="20"/>
              </w:rPr>
              <w:t>法人或其他组织</w:t>
            </w:r>
          </w:p>
        </w:tc>
        <w:tc>
          <w:tcPr>
            <w:tcW w:w="649" w:type="dxa"/>
            <w:vMerge w:val="restart"/>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color w:val="auto"/>
                <w:sz w:val="20"/>
                <w:szCs w:val="20"/>
              </w:rPr>
            </w:pPr>
            <w:r>
              <w:rPr>
                <w:color w:val="auto"/>
                <w:sz w:val="20"/>
                <w:szCs w:val="20"/>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218" w:type="dxa"/>
            <w:gridSpan w:val="3"/>
            <w:vMerge w:val="continue"/>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ind w:firstLine="480" w:firstLineChars="200"/>
              <w:jc w:val="center"/>
              <w:textAlignment w:val="auto"/>
              <w:outlineLvl w:val="9"/>
              <w:rPr>
                <w:rFonts w:ascii="宋体"/>
                <w:color w:val="auto"/>
                <w:sz w:val="24"/>
              </w:rPr>
            </w:pPr>
          </w:p>
        </w:tc>
        <w:tc>
          <w:tcPr>
            <w:tcW w:w="605" w:type="dxa"/>
            <w:vMerge w:val="continue"/>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ind w:firstLine="400" w:firstLineChars="200"/>
              <w:jc w:val="center"/>
              <w:textAlignment w:val="auto"/>
              <w:outlineLvl w:val="9"/>
              <w:rPr>
                <w:rFonts w:ascii="宋体"/>
                <w:color w:val="auto"/>
                <w:sz w:val="20"/>
                <w:szCs w:val="20"/>
              </w:rPr>
            </w:pP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color w:val="auto"/>
                <w:sz w:val="20"/>
                <w:szCs w:val="20"/>
              </w:rPr>
            </w:pPr>
            <w:r>
              <w:rPr>
                <w:color w:val="auto"/>
                <w:sz w:val="20"/>
                <w:szCs w:val="20"/>
              </w:rPr>
              <w:t>商业企业</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color w:val="auto"/>
                <w:sz w:val="20"/>
                <w:szCs w:val="20"/>
              </w:rPr>
            </w:pPr>
            <w:r>
              <w:rPr>
                <w:color w:val="auto"/>
                <w:sz w:val="20"/>
                <w:szCs w:val="20"/>
              </w:rPr>
              <w:t>科研机构</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color w:val="auto"/>
                <w:sz w:val="20"/>
                <w:szCs w:val="20"/>
              </w:rPr>
            </w:pPr>
            <w:r>
              <w:rPr>
                <w:color w:val="auto"/>
                <w:sz w:val="20"/>
                <w:szCs w:val="20"/>
              </w:rPr>
              <w:t>社会公益组织</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color w:val="auto"/>
                <w:sz w:val="20"/>
                <w:szCs w:val="20"/>
              </w:rPr>
            </w:pPr>
            <w:r>
              <w:rPr>
                <w:color w:val="auto"/>
                <w:sz w:val="20"/>
                <w:szCs w:val="20"/>
              </w:rPr>
              <w:t>法律服务机构</w:t>
            </w:r>
          </w:p>
        </w:tc>
        <w:tc>
          <w:tcPr>
            <w:tcW w:w="639"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color w:val="auto"/>
                <w:sz w:val="20"/>
                <w:szCs w:val="20"/>
              </w:rPr>
            </w:pPr>
            <w:r>
              <w:rPr>
                <w:color w:val="auto"/>
                <w:sz w:val="20"/>
                <w:szCs w:val="20"/>
              </w:rPr>
              <w:t>其他</w:t>
            </w:r>
          </w:p>
        </w:tc>
        <w:tc>
          <w:tcPr>
            <w:tcW w:w="649" w:type="dxa"/>
            <w:vMerge w:val="continue"/>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ind w:firstLine="400" w:firstLineChars="200"/>
              <w:jc w:val="center"/>
              <w:textAlignment w:val="auto"/>
              <w:outlineLvl w:val="9"/>
              <w:rPr>
                <w:rFonts w:ascii="宋体"/>
                <w:color w:val="auto"/>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218" w:type="dxa"/>
            <w:gridSpan w:val="3"/>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ascii="宋体" w:hAnsi="宋体" w:cs="宋体"/>
                <w:color w:val="auto"/>
                <w:sz w:val="20"/>
                <w:szCs w:val="20"/>
              </w:rPr>
            </w:pPr>
            <w:r>
              <w:rPr>
                <w:rFonts w:hint="eastAsia" w:ascii="宋体" w:hAnsi="宋体" w:cs="宋体"/>
                <w:color w:val="auto"/>
                <w:sz w:val="20"/>
                <w:szCs w:val="20"/>
              </w:rPr>
              <w:t>一、本年新收政府信息公开申请数量</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eastAsiaTheme="minorEastAsia"/>
                <w:color w:val="auto"/>
                <w:sz w:val="24"/>
                <w:lang w:val="en-US" w:eastAsia="zh-CN"/>
              </w:rPr>
            </w:pPr>
            <w:r>
              <w:rPr>
                <w:rFonts w:hint="eastAsia" w:ascii="宋体"/>
                <w:color w:val="auto"/>
                <w:sz w:val="24"/>
                <w:lang w:val="en-US" w:eastAsia="zh-CN"/>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eastAsiaTheme="minorEastAsia"/>
                <w:color w:val="auto"/>
                <w:sz w:val="24"/>
                <w:lang w:val="en-US" w:eastAsia="zh-CN"/>
              </w:rPr>
            </w:pPr>
            <w:r>
              <w:rPr>
                <w:rFonts w:hint="eastAsia" w:ascii="宋体"/>
                <w:color w:val="auto"/>
                <w:sz w:val="24"/>
                <w:lang w:val="en-US" w:eastAsia="zh-CN"/>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lang w:val="en-US" w:eastAsia="zh-CN"/>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hint="eastAsia" w:ascii="宋体" w:eastAsiaTheme="minorEastAsia"/>
                <w:color w:val="auto"/>
                <w:sz w:val="24"/>
                <w:lang w:val="en-US" w:eastAsia="zh-CN"/>
              </w:rPr>
            </w:pPr>
            <w:r>
              <w:rPr>
                <w:rFonts w:hint="eastAsia" w:ascii="宋体"/>
                <w:color w:val="auto"/>
                <w:sz w:val="24"/>
                <w:lang w:val="en-US" w:eastAsia="zh-CN"/>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lang w:val="en-US" w:eastAsia="zh-CN"/>
              </w:rPr>
              <w:t>0</w:t>
            </w:r>
          </w:p>
        </w:tc>
        <w:tc>
          <w:tcPr>
            <w:tcW w:w="639"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lang w:val="en-US" w:eastAsia="zh-CN"/>
              </w:rPr>
              <w:t>0</w:t>
            </w:r>
          </w:p>
        </w:tc>
        <w:tc>
          <w:tcPr>
            <w:tcW w:w="649"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lang w:val="en-US" w:eastAsia="zh-CN"/>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218" w:type="dxa"/>
            <w:gridSpan w:val="3"/>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ascii="宋体" w:hAnsi="宋体" w:cs="宋体"/>
                <w:color w:val="auto"/>
                <w:sz w:val="20"/>
                <w:szCs w:val="20"/>
              </w:rPr>
            </w:pPr>
            <w:r>
              <w:rPr>
                <w:rFonts w:hint="eastAsia" w:ascii="宋体" w:hAnsi="宋体" w:cs="宋体"/>
                <w:color w:val="auto"/>
                <w:sz w:val="20"/>
                <w:szCs w:val="20"/>
              </w:rPr>
              <w:t>二、上年结转政府信息公开申请数量</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39"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49"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58" w:hRule="atLeast"/>
          <w:jc w:val="center"/>
        </w:trPr>
        <w:tc>
          <w:tcPr>
            <w:tcW w:w="606" w:type="dxa"/>
            <w:vMerge w:val="restart"/>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ascii="宋体" w:hAnsi="宋体" w:cs="宋体"/>
                <w:color w:val="auto"/>
                <w:sz w:val="20"/>
                <w:szCs w:val="20"/>
              </w:rPr>
            </w:pPr>
            <w:r>
              <w:rPr>
                <w:rFonts w:hint="eastAsia" w:ascii="宋体" w:hAnsi="宋体" w:cs="宋体"/>
                <w:color w:val="auto"/>
                <w:sz w:val="20"/>
                <w:szCs w:val="20"/>
              </w:rPr>
              <w:t>三、本年度办理结果</w:t>
            </w:r>
          </w:p>
        </w:tc>
        <w:tc>
          <w:tcPr>
            <w:tcW w:w="3612" w:type="dxa"/>
            <w:gridSpan w:val="2"/>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ascii="宋体" w:hAnsi="宋体" w:cs="宋体"/>
                <w:color w:val="auto"/>
                <w:sz w:val="20"/>
                <w:szCs w:val="20"/>
              </w:rPr>
            </w:pPr>
            <w:r>
              <w:rPr>
                <w:rFonts w:hint="eastAsia" w:ascii="宋体" w:hAnsi="宋体" w:cs="宋体"/>
                <w:color w:val="auto"/>
                <w:sz w:val="20"/>
                <w:szCs w:val="20"/>
              </w:rPr>
              <w:t>一）予以公开</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39"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49"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8" w:hRule="atLeast"/>
          <w:jc w:val="center"/>
        </w:trPr>
        <w:tc>
          <w:tcPr>
            <w:tcW w:w="606" w:type="dxa"/>
            <w:vMerge w:val="continue"/>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ind w:firstLine="400" w:firstLineChars="200"/>
              <w:jc w:val="center"/>
              <w:textAlignment w:val="auto"/>
              <w:outlineLvl w:val="9"/>
              <w:rPr>
                <w:rFonts w:ascii="宋体" w:hAnsi="宋体" w:cs="宋体"/>
                <w:color w:val="auto"/>
                <w:sz w:val="20"/>
                <w:szCs w:val="20"/>
              </w:rPr>
            </w:pPr>
          </w:p>
        </w:tc>
        <w:tc>
          <w:tcPr>
            <w:tcW w:w="3612" w:type="dxa"/>
            <w:gridSpan w:val="2"/>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ascii="宋体" w:hAnsi="宋体" w:cs="宋体"/>
                <w:color w:val="auto"/>
                <w:sz w:val="20"/>
                <w:szCs w:val="20"/>
              </w:rPr>
            </w:pPr>
            <w:r>
              <w:rPr>
                <w:rFonts w:hint="eastAsia" w:ascii="宋体" w:hAnsi="宋体" w:cs="宋体"/>
                <w:color w:val="auto"/>
                <w:sz w:val="20"/>
                <w:szCs w:val="20"/>
              </w:rPr>
              <w:t>（二）部分公开</w:t>
            </w:r>
            <w:r>
              <w:rPr>
                <w:rFonts w:hint="eastAsia" w:ascii="楷体_GB2312" w:hAnsi="楷体_GB2312" w:eastAsia="楷体_GB2312" w:cs="楷体_GB2312"/>
                <w:color w:val="auto"/>
                <w:sz w:val="20"/>
                <w:szCs w:val="20"/>
              </w:rPr>
              <w:t>（区分处理的，只计这一情形，不计其他情形）</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39"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49"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06" w:type="dxa"/>
            <w:vMerge w:val="continue"/>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ind w:firstLine="400" w:firstLineChars="200"/>
              <w:jc w:val="center"/>
              <w:textAlignment w:val="auto"/>
              <w:outlineLvl w:val="9"/>
              <w:rPr>
                <w:rFonts w:ascii="宋体" w:hAnsi="宋体" w:cs="宋体"/>
                <w:color w:val="auto"/>
                <w:sz w:val="20"/>
                <w:szCs w:val="20"/>
              </w:rPr>
            </w:pPr>
          </w:p>
        </w:tc>
        <w:tc>
          <w:tcPr>
            <w:tcW w:w="732" w:type="dxa"/>
            <w:vMerge w:val="restart"/>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ascii="宋体" w:hAnsi="宋体" w:cs="宋体"/>
                <w:color w:val="auto"/>
                <w:sz w:val="20"/>
                <w:szCs w:val="20"/>
              </w:rPr>
            </w:pPr>
            <w:r>
              <w:rPr>
                <w:rFonts w:hint="eastAsia" w:ascii="宋体" w:hAnsi="宋体" w:cs="宋体"/>
                <w:color w:val="auto"/>
                <w:sz w:val="20"/>
                <w:szCs w:val="20"/>
              </w:rPr>
              <w:t>（三）不予公开</w:t>
            </w:r>
          </w:p>
        </w:tc>
        <w:tc>
          <w:tcPr>
            <w:tcW w:w="2880"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tcPr>
          <w:p>
            <w:pPr>
              <w:pStyle w:val="11"/>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ascii="宋体" w:hAnsi="宋体" w:cs="宋体"/>
                <w:color w:val="auto"/>
                <w:sz w:val="20"/>
                <w:szCs w:val="20"/>
              </w:rPr>
            </w:pPr>
            <w:r>
              <w:rPr>
                <w:rFonts w:hint="eastAsia" w:ascii="宋体" w:hAnsi="宋体" w:cs="宋体"/>
                <w:color w:val="auto"/>
                <w:sz w:val="20"/>
                <w:szCs w:val="20"/>
              </w:rPr>
              <w:t>1.属于国家秘密</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39"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49"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jc w:val="center"/>
        </w:trPr>
        <w:tc>
          <w:tcPr>
            <w:tcW w:w="606" w:type="dxa"/>
            <w:vMerge w:val="continue"/>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ind w:firstLine="400" w:firstLineChars="200"/>
              <w:jc w:val="center"/>
              <w:textAlignment w:val="auto"/>
              <w:outlineLvl w:val="9"/>
              <w:rPr>
                <w:rFonts w:ascii="宋体" w:hAnsi="宋体" w:cs="宋体"/>
                <w:color w:val="auto"/>
                <w:sz w:val="20"/>
                <w:szCs w:val="20"/>
              </w:rPr>
            </w:pPr>
          </w:p>
        </w:tc>
        <w:tc>
          <w:tcPr>
            <w:tcW w:w="732" w:type="dxa"/>
            <w:vMerge w:val="continue"/>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ind w:firstLine="400" w:firstLineChars="200"/>
              <w:jc w:val="center"/>
              <w:textAlignment w:val="auto"/>
              <w:outlineLvl w:val="9"/>
              <w:rPr>
                <w:rFonts w:ascii="宋体" w:hAnsi="宋体" w:cs="宋体"/>
                <w:color w:val="auto"/>
                <w:sz w:val="20"/>
                <w:szCs w:val="20"/>
              </w:rPr>
            </w:pPr>
          </w:p>
        </w:tc>
        <w:tc>
          <w:tcPr>
            <w:tcW w:w="2880"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tcPr>
          <w:p>
            <w:pPr>
              <w:pStyle w:val="11"/>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ascii="宋体" w:hAnsi="宋体" w:cs="宋体"/>
                <w:color w:val="auto"/>
                <w:sz w:val="20"/>
                <w:szCs w:val="20"/>
              </w:rPr>
            </w:pPr>
            <w:r>
              <w:rPr>
                <w:rFonts w:hint="eastAsia" w:ascii="宋体" w:hAnsi="宋体" w:cs="宋体"/>
                <w:color w:val="auto"/>
                <w:sz w:val="20"/>
                <w:szCs w:val="20"/>
              </w:rPr>
              <w:t>2.其他法律行政法规禁止公开</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39"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49"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06" w:type="dxa"/>
            <w:vMerge w:val="continue"/>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ind w:firstLine="400" w:firstLineChars="200"/>
              <w:jc w:val="center"/>
              <w:textAlignment w:val="auto"/>
              <w:outlineLvl w:val="9"/>
              <w:rPr>
                <w:rFonts w:ascii="宋体" w:hAnsi="宋体" w:cs="宋体"/>
                <w:color w:val="auto"/>
                <w:sz w:val="20"/>
                <w:szCs w:val="20"/>
              </w:rPr>
            </w:pPr>
          </w:p>
        </w:tc>
        <w:tc>
          <w:tcPr>
            <w:tcW w:w="732" w:type="dxa"/>
            <w:vMerge w:val="continue"/>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ind w:firstLine="400" w:firstLineChars="200"/>
              <w:jc w:val="center"/>
              <w:textAlignment w:val="auto"/>
              <w:outlineLvl w:val="9"/>
              <w:rPr>
                <w:rFonts w:ascii="宋体" w:hAnsi="宋体" w:cs="宋体"/>
                <w:color w:val="auto"/>
                <w:sz w:val="20"/>
                <w:szCs w:val="20"/>
              </w:rPr>
            </w:pPr>
          </w:p>
        </w:tc>
        <w:tc>
          <w:tcPr>
            <w:tcW w:w="2880"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tcPr>
          <w:p>
            <w:pPr>
              <w:pStyle w:val="11"/>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ascii="宋体" w:hAnsi="宋体" w:cs="宋体"/>
                <w:color w:val="auto"/>
                <w:sz w:val="20"/>
                <w:szCs w:val="20"/>
              </w:rPr>
            </w:pPr>
            <w:r>
              <w:rPr>
                <w:rFonts w:hint="eastAsia" w:ascii="宋体" w:hAnsi="宋体" w:cs="宋体"/>
                <w:color w:val="auto"/>
                <w:sz w:val="20"/>
                <w:szCs w:val="20"/>
              </w:rPr>
              <w:t>3.危及“三安全一稳定”</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39"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49"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06" w:type="dxa"/>
            <w:vMerge w:val="continue"/>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ind w:firstLine="400" w:firstLineChars="200"/>
              <w:jc w:val="center"/>
              <w:textAlignment w:val="auto"/>
              <w:outlineLvl w:val="9"/>
              <w:rPr>
                <w:rFonts w:ascii="宋体" w:hAnsi="宋体" w:cs="宋体"/>
                <w:color w:val="auto"/>
                <w:sz w:val="20"/>
                <w:szCs w:val="20"/>
              </w:rPr>
            </w:pPr>
          </w:p>
        </w:tc>
        <w:tc>
          <w:tcPr>
            <w:tcW w:w="732" w:type="dxa"/>
            <w:vMerge w:val="continue"/>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ind w:firstLine="400" w:firstLineChars="200"/>
              <w:jc w:val="center"/>
              <w:textAlignment w:val="auto"/>
              <w:outlineLvl w:val="9"/>
              <w:rPr>
                <w:rFonts w:ascii="宋体" w:hAnsi="宋体" w:cs="宋体"/>
                <w:color w:val="auto"/>
                <w:sz w:val="20"/>
                <w:szCs w:val="20"/>
              </w:rPr>
            </w:pPr>
          </w:p>
        </w:tc>
        <w:tc>
          <w:tcPr>
            <w:tcW w:w="2880"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tcPr>
          <w:p>
            <w:pPr>
              <w:pStyle w:val="11"/>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ascii="宋体" w:hAnsi="宋体" w:cs="宋体"/>
                <w:color w:val="auto"/>
                <w:sz w:val="20"/>
                <w:szCs w:val="20"/>
              </w:rPr>
            </w:pPr>
            <w:r>
              <w:rPr>
                <w:rFonts w:hint="eastAsia" w:ascii="宋体" w:hAnsi="宋体" w:cs="宋体"/>
                <w:color w:val="auto"/>
                <w:sz w:val="20"/>
                <w:szCs w:val="20"/>
              </w:rPr>
              <w:t>4.保护第三方合法权益</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39"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49"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06" w:type="dxa"/>
            <w:vMerge w:val="continue"/>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ind w:firstLine="400" w:firstLineChars="200"/>
              <w:jc w:val="center"/>
              <w:textAlignment w:val="auto"/>
              <w:outlineLvl w:val="9"/>
              <w:rPr>
                <w:rFonts w:ascii="宋体" w:hAnsi="宋体" w:cs="宋体"/>
                <w:color w:val="auto"/>
                <w:sz w:val="20"/>
                <w:szCs w:val="20"/>
              </w:rPr>
            </w:pPr>
          </w:p>
        </w:tc>
        <w:tc>
          <w:tcPr>
            <w:tcW w:w="732" w:type="dxa"/>
            <w:vMerge w:val="continue"/>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ind w:firstLine="400" w:firstLineChars="200"/>
              <w:jc w:val="center"/>
              <w:textAlignment w:val="auto"/>
              <w:outlineLvl w:val="9"/>
              <w:rPr>
                <w:rFonts w:ascii="宋体" w:hAnsi="宋体" w:cs="宋体"/>
                <w:color w:val="auto"/>
                <w:sz w:val="20"/>
                <w:szCs w:val="20"/>
              </w:rPr>
            </w:pPr>
          </w:p>
        </w:tc>
        <w:tc>
          <w:tcPr>
            <w:tcW w:w="2880"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tcPr>
          <w:p>
            <w:pPr>
              <w:pStyle w:val="11"/>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ascii="宋体" w:hAnsi="宋体" w:cs="宋体"/>
                <w:color w:val="auto"/>
                <w:sz w:val="20"/>
                <w:szCs w:val="20"/>
              </w:rPr>
            </w:pPr>
            <w:r>
              <w:rPr>
                <w:rFonts w:hint="eastAsia" w:ascii="宋体" w:hAnsi="宋体" w:cs="宋体"/>
                <w:color w:val="auto"/>
                <w:sz w:val="20"/>
                <w:szCs w:val="20"/>
              </w:rPr>
              <w:t>5.属于三类内部事务信息</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39"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49"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06" w:type="dxa"/>
            <w:vMerge w:val="continue"/>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ind w:firstLine="400" w:firstLineChars="200"/>
              <w:jc w:val="center"/>
              <w:textAlignment w:val="auto"/>
              <w:outlineLvl w:val="9"/>
              <w:rPr>
                <w:rFonts w:ascii="宋体" w:hAnsi="宋体" w:cs="宋体"/>
                <w:color w:val="auto"/>
                <w:sz w:val="20"/>
                <w:szCs w:val="20"/>
              </w:rPr>
            </w:pPr>
          </w:p>
        </w:tc>
        <w:tc>
          <w:tcPr>
            <w:tcW w:w="732" w:type="dxa"/>
            <w:vMerge w:val="continue"/>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ind w:firstLine="400" w:firstLineChars="200"/>
              <w:jc w:val="center"/>
              <w:textAlignment w:val="auto"/>
              <w:outlineLvl w:val="9"/>
              <w:rPr>
                <w:rFonts w:ascii="宋体" w:hAnsi="宋体" w:cs="宋体"/>
                <w:color w:val="auto"/>
                <w:sz w:val="20"/>
                <w:szCs w:val="20"/>
              </w:rPr>
            </w:pPr>
          </w:p>
        </w:tc>
        <w:tc>
          <w:tcPr>
            <w:tcW w:w="2880"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tcPr>
          <w:p>
            <w:pPr>
              <w:pStyle w:val="11"/>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ascii="宋体" w:hAnsi="宋体" w:cs="宋体"/>
                <w:color w:val="auto"/>
                <w:sz w:val="20"/>
                <w:szCs w:val="20"/>
              </w:rPr>
            </w:pPr>
            <w:r>
              <w:rPr>
                <w:rFonts w:hint="eastAsia" w:ascii="宋体" w:hAnsi="宋体" w:cs="宋体"/>
                <w:color w:val="auto"/>
                <w:sz w:val="20"/>
                <w:szCs w:val="20"/>
              </w:rPr>
              <w:t>6.属于四类过程性信息</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39"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49"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06" w:type="dxa"/>
            <w:vMerge w:val="continue"/>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ind w:firstLine="400" w:firstLineChars="200"/>
              <w:jc w:val="center"/>
              <w:textAlignment w:val="auto"/>
              <w:outlineLvl w:val="9"/>
              <w:rPr>
                <w:rFonts w:ascii="宋体" w:hAnsi="宋体" w:cs="宋体"/>
                <w:color w:val="auto"/>
                <w:sz w:val="20"/>
                <w:szCs w:val="20"/>
              </w:rPr>
            </w:pPr>
          </w:p>
        </w:tc>
        <w:tc>
          <w:tcPr>
            <w:tcW w:w="732" w:type="dxa"/>
            <w:vMerge w:val="continue"/>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ind w:firstLine="400" w:firstLineChars="200"/>
              <w:jc w:val="center"/>
              <w:textAlignment w:val="auto"/>
              <w:outlineLvl w:val="9"/>
              <w:rPr>
                <w:rFonts w:ascii="宋体" w:hAnsi="宋体" w:cs="宋体"/>
                <w:color w:val="auto"/>
                <w:sz w:val="20"/>
                <w:szCs w:val="20"/>
              </w:rPr>
            </w:pPr>
          </w:p>
        </w:tc>
        <w:tc>
          <w:tcPr>
            <w:tcW w:w="2880"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tcPr>
          <w:p>
            <w:pPr>
              <w:pStyle w:val="11"/>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ascii="宋体" w:hAnsi="宋体" w:cs="宋体"/>
                <w:color w:val="auto"/>
                <w:sz w:val="20"/>
                <w:szCs w:val="20"/>
              </w:rPr>
            </w:pPr>
            <w:r>
              <w:rPr>
                <w:rFonts w:hint="eastAsia" w:ascii="宋体" w:hAnsi="宋体" w:cs="宋体"/>
                <w:color w:val="auto"/>
                <w:sz w:val="20"/>
                <w:szCs w:val="20"/>
              </w:rPr>
              <w:t>7.属于行政执法案卷</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39"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49"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06" w:type="dxa"/>
            <w:vMerge w:val="continue"/>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ind w:firstLine="400" w:firstLineChars="200"/>
              <w:jc w:val="center"/>
              <w:textAlignment w:val="auto"/>
              <w:outlineLvl w:val="9"/>
              <w:rPr>
                <w:rFonts w:ascii="宋体" w:hAnsi="宋体" w:cs="宋体"/>
                <w:color w:val="auto"/>
                <w:sz w:val="20"/>
                <w:szCs w:val="20"/>
              </w:rPr>
            </w:pPr>
          </w:p>
        </w:tc>
        <w:tc>
          <w:tcPr>
            <w:tcW w:w="732" w:type="dxa"/>
            <w:vMerge w:val="continue"/>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ind w:firstLine="400" w:firstLineChars="200"/>
              <w:jc w:val="center"/>
              <w:textAlignment w:val="auto"/>
              <w:outlineLvl w:val="9"/>
              <w:rPr>
                <w:rFonts w:ascii="宋体" w:hAnsi="宋体" w:cs="宋体"/>
                <w:color w:val="auto"/>
                <w:sz w:val="20"/>
                <w:szCs w:val="20"/>
              </w:rPr>
            </w:pPr>
          </w:p>
        </w:tc>
        <w:tc>
          <w:tcPr>
            <w:tcW w:w="2880"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tcPr>
          <w:p>
            <w:pPr>
              <w:pStyle w:val="11"/>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ascii="宋体" w:hAnsi="宋体" w:cs="宋体"/>
                <w:color w:val="auto"/>
                <w:sz w:val="20"/>
                <w:szCs w:val="20"/>
              </w:rPr>
            </w:pPr>
            <w:r>
              <w:rPr>
                <w:rFonts w:hint="eastAsia" w:ascii="宋体" w:hAnsi="宋体" w:cs="宋体"/>
                <w:color w:val="auto"/>
                <w:sz w:val="20"/>
                <w:szCs w:val="20"/>
              </w:rPr>
              <w:t>8.属于行政查询事项</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39"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49"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06" w:type="dxa"/>
            <w:vMerge w:val="continue"/>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ind w:firstLine="400" w:firstLineChars="200"/>
              <w:jc w:val="center"/>
              <w:textAlignment w:val="auto"/>
              <w:outlineLvl w:val="9"/>
              <w:rPr>
                <w:rFonts w:ascii="宋体" w:hAnsi="宋体" w:cs="宋体"/>
                <w:color w:val="auto"/>
                <w:sz w:val="20"/>
                <w:szCs w:val="20"/>
              </w:rPr>
            </w:pPr>
          </w:p>
        </w:tc>
        <w:tc>
          <w:tcPr>
            <w:tcW w:w="732" w:type="dxa"/>
            <w:vMerge w:val="restart"/>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ascii="宋体" w:hAnsi="宋体" w:cs="宋体"/>
                <w:color w:val="auto"/>
                <w:sz w:val="20"/>
                <w:szCs w:val="20"/>
              </w:rPr>
            </w:pPr>
            <w:r>
              <w:rPr>
                <w:rFonts w:hint="eastAsia" w:ascii="宋体" w:hAnsi="宋体" w:cs="宋体"/>
                <w:color w:val="auto"/>
                <w:sz w:val="20"/>
                <w:szCs w:val="20"/>
              </w:rPr>
              <w:t>（四）无法提供</w:t>
            </w:r>
          </w:p>
        </w:tc>
        <w:tc>
          <w:tcPr>
            <w:tcW w:w="2880"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tcPr>
          <w:p>
            <w:pPr>
              <w:pStyle w:val="11"/>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ascii="宋体" w:hAnsi="宋体" w:cs="宋体"/>
                <w:color w:val="auto"/>
                <w:sz w:val="20"/>
                <w:szCs w:val="20"/>
              </w:rPr>
            </w:pPr>
            <w:r>
              <w:rPr>
                <w:rFonts w:hint="eastAsia" w:ascii="宋体" w:hAnsi="宋体" w:cs="宋体"/>
                <w:color w:val="auto"/>
                <w:sz w:val="18"/>
                <w:szCs w:val="18"/>
              </w:rPr>
              <w:t>1.本机关不掌握相关政府信息</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39"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49"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06" w:type="dxa"/>
            <w:vMerge w:val="continue"/>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ind w:firstLine="400" w:firstLineChars="200"/>
              <w:jc w:val="center"/>
              <w:textAlignment w:val="auto"/>
              <w:outlineLvl w:val="9"/>
              <w:rPr>
                <w:rFonts w:ascii="宋体" w:hAnsi="宋体" w:cs="宋体"/>
                <w:color w:val="auto"/>
                <w:sz w:val="20"/>
                <w:szCs w:val="20"/>
              </w:rPr>
            </w:pPr>
          </w:p>
        </w:tc>
        <w:tc>
          <w:tcPr>
            <w:tcW w:w="732" w:type="dxa"/>
            <w:vMerge w:val="continue"/>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ind w:firstLine="400" w:firstLineChars="200"/>
              <w:jc w:val="center"/>
              <w:textAlignment w:val="auto"/>
              <w:outlineLvl w:val="9"/>
              <w:rPr>
                <w:rFonts w:ascii="宋体" w:hAnsi="宋体" w:cs="宋体"/>
                <w:color w:val="auto"/>
                <w:sz w:val="20"/>
                <w:szCs w:val="20"/>
              </w:rPr>
            </w:pPr>
          </w:p>
        </w:tc>
        <w:tc>
          <w:tcPr>
            <w:tcW w:w="2880"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tcPr>
          <w:p>
            <w:pPr>
              <w:pStyle w:val="11"/>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ascii="宋体" w:hAnsi="宋体" w:cs="宋体"/>
                <w:color w:val="auto"/>
                <w:sz w:val="20"/>
                <w:szCs w:val="20"/>
              </w:rPr>
            </w:pPr>
            <w:r>
              <w:rPr>
                <w:rFonts w:hint="eastAsia" w:ascii="宋体" w:hAnsi="宋体" w:cs="宋体"/>
                <w:color w:val="auto"/>
                <w:sz w:val="18"/>
                <w:szCs w:val="18"/>
              </w:rPr>
              <w:t>2.没有现成信息需要另行制作</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39"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49"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06" w:type="dxa"/>
            <w:vMerge w:val="continue"/>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ind w:firstLine="400" w:firstLineChars="200"/>
              <w:jc w:val="center"/>
              <w:textAlignment w:val="auto"/>
              <w:outlineLvl w:val="9"/>
              <w:rPr>
                <w:rFonts w:ascii="宋体" w:hAnsi="宋体" w:cs="宋体"/>
                <w:color w:val="auto"/>
                <w:sz w:val="20"/>
                <w:szCs w:val="20"/>
              </w:rPr>
            </w:pPr>
          </w:p>
        </w:tc>
        <w:tc>
          <w:tcPr>
            <w:tcW w:w="732" w:type="dxa"/>
            <w:vMerge w:val="continue"/>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ind w:firstLine="400" w:firstLineChars="200"/>
              <w:jc w:val="center"/>
              <w:textAlignment w:val="auto"/>
              <w:outlineLvl w:val="9"/>
              <w:rPr>
                <w:rFonts w:ascii="宋体" w:hAnsi="宋体" w:cs="宋体"/>
                <w:color w:val="auto"/>
                <w:sz w:val="20"/>
                <w:szCs w:val="20"/>
              </w:rPr>
            </w:pPr>
          </w:p>
        </w:tc>
        <w:tc>
          <w:tcPr>
            <w:tcW w:w="2880"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tcPr>
          <w:p>
            <w:pPr>
              <w:pStyle w:val="11"/>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ascii="宋体" w:hAnsi="宋体" w:cs="宋体"/>
                <w:color w:val="auto"/>
                <w:sz w:val="20"/>
                <w:szCs w:val="20"/>
              </w:rPr>
            </w:pPr>
            <w:r>
              <w:rPr>
                <w:rFonts w:hint="eastAsia" w:ascii="宋体" w:hAnsi="宋体" w:cs="宋体"/>
                <w:color w:val="auto"/>
                <w:sz w:val="20"/>
                <w:szCs w:val="20"/>
              </w:rPr>
              <w:t>3.补正后申请内容仍不明确</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39"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49"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06" w:type="dxa"/>
            <w:vMerge w:val="continue"/>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ind w:firstLine="400" w:firstLineChars="200"/>
              <w:jc w:val="center"/>
              <w:textAlignment w:val="auto"/>
              <w:outlineLvl w:val="9"/>
              <w:rPr>
                <w:rFonts w:ascii="宋体" w:hAnsi="宋体" w:cs="宋体"/>
                <w:color w:val="auto"/>
                <w:sz w:val="20"/>
                <w:szCs w:val="20"/>
              </w:rPr>
            </w:pPr>
          </w:p>
        </w:tc>
        <w:tc>
          <w:tcPr>
            <w:tcW w:w="732" w:type="dxa"/>
            <w:vMerge w:val="restart"/>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ascii="宋体" w:hAnsi="宋体" w:cs="宋体"/>
                <w:color w:val="auto"/>
                <w:sz w:val="20"/>
                <w:szCs w:val="20"/>
              </w:rPr>
            </w:pPr>
            <w:r>
              <w:rPr>
                <w:rFonts w:hint="eastAsia" w:ascii="宋体" w:hAnsi="宋体" w:cs="宋体"/>
                <w:color w:val="auto"/>
                <w:sz w:val="20"/>
                <w:szCs w:val="20"/>
              </w:rPr>
              <w:t>（五）不予处理</w:t>
            </w:r>
          </w:p>
        </w:tc>
        <w:tc>
          <w:tcPr>
            <w:tcW w:w="2880"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tcPr>
          <w:p>
            <w:pPr>
              <w:pStyle w:val="11"/>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ascii="宋体" w:hAnsi="宋体" w:cs="宋体"/>
                <w:color w:val="auto"/>
                <w:sz w:val="20"/>
                <w:szCs w:val="20"/>
              </w:rPr>
            </w:pPr>
            <w:r>
              <w:rPr>
                <w:rFonts w:hint="eastAsia" w:ascii="宋体" w:hAnsi="宋体" w:cs="宋体"/>
                <w:color w:val="auto"/>
                <w:sz w:val="20"/>
                <w:szCs w:val="20"/>
              </w:rPr>
              <w:t>1.信访举报投诉类申请</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39"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49"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06" w:type="dxa"/>
            <w:vMerge w:val="continue"/>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ind w:firstLine="400" w:firstLineChars="200"/>
              <w:jc w:val="center"/>
              <w:textAlignment w:val="auto"/>
              <w:outlineLvl w:val="9"/>
              <w:rPr>
                <w:rFonts w:ascii="宋体" w:hAnsi="宋体" w:cs="宋体"/>
                <w:color w:val="auto"/>
                <w:sz w:val="20"/>
                <w:szCs w:val="20"/>
              </w:rPr>
            </w:pPr>
          </w:p>
        </w:tc>
        <w:tc>
          <w:tcPr>
            <w:tcW w:w="732" w:type="dxa"/>
            <w:vMerge w:val="continue"/>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ind w:firstLine="400" w:firstLineChars="200"/>
              <w:jc w:val="center"/>
              <w:textAlignment w:val="auto"/>
              <w:outlineLvl w:val="9"/>
              <w:rPr>
                <w:rFonts w:ascii="宋体" w:hAnsi="宋体" w:cs="宋体"/>
                <w:color w:val="auto"/>
                <w:sz w:val="20"/>
                <w:szCs w:val="20"/>
              </w:rPr>
            </w:pPr>
          </w:p>
        </w:tc>
        <w:tc>
          <w:tcPr>
            <w:tcW w:w="2880"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tcPr>
          <w:p>
            <w:pPr>
              <w:pStyle w:val="11"/>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ascii="宋体" w:hAnsi="宋体" w:cs="宋体"/>
                <w:color w:val="auto"/>
                <w:sz w:val="20"/>
                <w:szCs w:val="20"/>
              </w:rPr>
            </w:pPr>
            <w:r>
              <w:rPr>
                <w:rFonts w:hint="eastAsia" w:ascii="宋体" w:hAnsi="宋体" w:cs="宋体"/>
                <w:color w:val="auto"/>
                <w:sz w:val="20"/>
                <w:szCs w:val="20"/>
              </w:rPr>
              <w:t>2.重复申请</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39"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49"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06" w:type="dxa"/>
            <w:vMerge w:val="continue"/>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ind w:firstLine="400" w:firstLineChars="200"/>
              <w:jc w:val="center"/>
              <w:textAlignment w:val="auto"/>
              <w:outlineLvl w:val="9"/>
              <w:rPr>
                <w:rFonts w:ascii="宋体" w:hAnsi="宋体" w:cs="宋体"/>
                <w:color w:val="auto"/>
                <w:sz w:val="20"/>
                <w:szCs w:val="20"/>
              </w:rPr>
            </w:pPr>
          </w:p>
        </w:tc>
        <w:tc>
          <w:tcPr>
            <w:tcW w:w="732" w:type="dxa"/>
            <w:vMerge w:val="continue"/>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ind w:firstLine="400" w:firstLineChars="200"/>
              <w:jc w:val="center"/>
              <w:textAlignment w:val="auto"/>
              <w:outlineLvl w:val="9"/>
              <w:rPr>
                <w:rFonts w:ascii="宋体" w:hAnsi="宋体" w:cs="宋体"/>
                <w:color w:val="auto"/>
                <w:sz w:val="20"/>
                <w:szCs w:val="20"/>
              </w:rPr>
            </w:pPr>
          </w:p>
        </w:tc>
        <w:tc>
          <w:tcPr>
            <w:tcW w:w="2880"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tcPr>
          <w:p>
            <w:pPr>
              <w:pStyle w:val="11"/>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ascii="宋体" w:hAnsi="宋体" w:cs="宋体"/>
                <w:color w:val="auto"/>
                <w:sz w:val="20"/>
                <w:szCs w:val="20"/>
              </w:rPr>
            </w:pPr>
            <w:r>
              <w:rPr>
                <w:rFonts w:hint="eastAsia" w:ascii="宋体" w:hAnsi="宋体" w:cs="宋体"/>
                <w:color w:val="auto"/>
                <w:sz w:val="20"/>
                <w:szCs w:val="20"/>
              </w:rPr>
              <w:t>3.要求提供公开出版物</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39"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49"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06" w:type="dxa"/>
            <w:vMerge w:val="continue"/>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ind w:firstLine="400" w:firstLineChars="200"/>
              <w:jc w:val="center"/>
              <w:textAlignment w:val="auto"/>
              <w:outlineLvl w:val="9"/>
              <w:rPr>
                <w:rFonts w:ascii="宋体" w:hAnsi="宋体" w:cs="宋体"/>
                <w:color w:val="auto"/>
                <w:sz w:val="20"/>
                <w:szCs w:val="20"/>
              </w:rPr>
            </w:pPr>
          </w:p>
        </w:tc>
        <w:tc>
          <w:tcPr>
            <w:tcW w:w="732" w:type="dxa"/>
            <w:vMerge w:val="continue"/>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ind w:firstLine="400" w:firstLineChars="200"/>
              <w:jc w:val="center"/>
              <w:textAlignment w:val="auto"/>
              <w:outlineLvl w:val="9"/>
              <w:rPr>
                <w:rFonts w:ascii="宋体" w:hAnsi="宋体" w:cs="宋体"/>
                <w:color w:val="auto"/>
                <w:sz w:val="20"/>
                <w:szCs w:val="20"/>
              </w:rPr>
            </w:pPr>
          </w:p>
        </w:tc>
        <w:tc>
          <w:tcPr>
            <w:tcW w:w="2880"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tcPr>
          <w:p>
            <w:pPr>
              <w:pStyle w:val="11"/>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ascii="宋体" w:hAnsi="宋体" w:cs="宋体"/>
                <w:color w:val="auto"/>
                <w:sz w:val="20"/>
                <w:szCs w:val="20"/>
              </w:rPr>
            </w:pPr>
            <w:r>
              <w:rPr>
                <w:rFonts w:hint="eastAsia" w:ascii="宋体" w:hAnsi="宋体" w:cs="宋体"/>
                <w:color w:val="auto"/>
                <w:sz w:val="20"/>
                <w:szCs w:val="20"/>
              </w:rPr>
              <w:t>4.无正当理由大量反复申请</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39"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49"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06" w:type="dxa"/>
            <w:vMerge w:val="continue"/>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ind w:firstLine="400" w:firstLineChars="200"/>
              <w:jc w:val="center"/>
              <w:textAlignment w:val="auto"/>
              <w:outlineLvl w:val="9"/>
              <w:rPr>
                <w:rFonts w:ascii="宋体" w:hAnsi="宋体" w:cs="宋体"/>
                <w:color w:val="auto"/>
                <w:sz w:val="20"/>
                <w:szCs w:val="20"/>
              </w:rPr>
            </w:pPr>
          </w:p>
        </w:tc>
        <w:tc>
          <w:tcPr>
            <w:tcW w:w="732" w:type="dxa"/>
            <w:vMerge w:val="continue"/>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ind w:firstLine="400" w:firstLineChars="200"/>
              <w:jc w:val="center"/>
              <w:textAlignment w:val="auto"/>
              <w:outlineLvl w:val="9"/>
              <w:rPr>
                <w:rFonts w:ascii="宋体" w:hAnsi="宋体" w:cs="宋体"/>
                <w:color w:val="auto"/>
                <w:sz w:val="20"/>
                <w:szCs w:val="20"/>
              </w:rPr>
            </w:pPr>
          </w:p>
        </w:tc>
        <w:tc>
          <w:tcPr>
            <w:tcW w:w="2880"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ascii="宋体" w:hAnsi="宋体" w:cs="宋体"/>
                <w:color w:val="auto"/>
                <w:sz w:val="20"/>
                <w:szCs w:val="20"/>
              </w:rPr>
            </w:pPr>
            <w:r>
              <w:rPr>
                <w:rFonts w:hint="eastAsia" w:ascii="宋体" w:hAnsi="宋体" w:cs="宋体"/>
                <w:color w:val="auto"/>
                <w:sz w:val="20"/>
                <w:szCs w:val="20"/>
              </w:rPr>
              <w:t>5.要求行政机关确认或重新出具已获取信息</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39"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49"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06" w:type="dxa"/>
            <w:vMerge w:val="continue"/>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ind w:firstLine="400" w:firstLineChars="200"/>
              <w:jc w:val="center"/>
              <w:textAlignment w:val="auto"/>
              <w:outlineLvl w:val="9"/>
              <w:rPr>
                <w:rFonts w:ascii="宋体" w:hAnsi="宋体" w:cs="宋体"/>
                <w:color w:val="auto"/>
                <w:sz w:val="20"/>
                <w:szCs w:val="20"/>
              </w:rPr>
            </w:pPr>
          </w:p>
        </w:tc>
        <w:tc>
          <w:tcPr>
            <w:tcW w:w="732" w:type="dxa"/>
            <w:vMerge w:val="restart"/>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ascii="宋体" w:hAnsi="宋体" w:cs="宋体"/>
                <w:color w:val="auto"/>
                <w:sz w:val="20"/>
                <w:szCs w:val="20"/>
              </w:rPr>
            </w:pPr>
            <w:r>
              <w:rPr>
                <w:rFonts w:hint="eastAsia" w:ascii="宋体" w:hAnsi="宋体" w:cs="宋体"/>
                <w:color w:val="auto"/>
                <w:sz w:val="20"/>
                <w:szCs w:val="20"/>
              </w:rPr>
              <w:t>（六）其他处理</w:t>
            </w:r>
          </w:p>
        </w:tc>
        <w:tc>
          <w:tcPr>
            <w:tcW w:w="2880"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ascii="宋体" w:hAnsi="宋体" w:cs="宋体"/>
                <w:color w:val="auto"/>
                <w:sz w:val="20"/>
                <w:szCs w:val="20"/>
              </w:rPr>
            </w:pPr>
            <w:r>
              <w:rPr>
                <w:rFonts w:hint="eastAsia" w:ascii="宋体" w:hAnsi="宋体" w:cs="宋体"/>
                <w:color w:val="auto"/>
                <w:sz w:val="20"/>
                <w:szCs w:val="20"/>
              </w:rPr>
              <w:t>1.申请人无正当理由逾期不补正、行政机关不再处理其政府信息公开申请</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color w:val="auto"/>
                <w:sz w:val="24"/>
              </w:rPr>
              <w:t>0</w:t>
            </w:r>
          </w:p>
        </w:tc>
        <w:tc>
          <w:tcPr>
            <w:tcW w:w="639"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color w:val="auto"/>
                <w:sz w:val="24"/>
              </w:rPr>
              <w:t>0</w:t>
            </w:r>
          </w:p>
        </w:tc>
        <w:tc>
          <w:tcPr>
            <w:tcW w:w="649"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color w:val="auto"/>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06" w:type="dxa"/>
            <w:vMerge w:val="continue"/>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ind w:firstLine="400" w:firstLineChars="200"/>
              <w:jc w:val="center"/>
              <w:textAlignment w:val="auto"/>
              <w:outlineLvl w:val="9"/>
              <w:rPr>
                <w:rFonts w:ascii="宋体" w:hAnsi="宋体" w:cs="宋体"/>
                <w:color w:val="auto"/>
                <w:sz w:val="20"/>
                <w:szCs w:val="20"/>
              </w:rPr>
            </w:pPr>
          </w:p>
        </w:tc>
        <w:tc>
          <w:tcPr>
            <w:tcW w:w="732" w:type="dxa"/>
            <w:vMerge w:val="continue"/>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ind w:firstLine="400" w:firstLineChars="200"/>
              <w:jc w:val="center"/>
              <w:textAlignment w:val="auto"/>
              <w:outlineLvl w:val="9"/>
              <w:rPr>
                <w:rFonts w:ascii="宋体" w:hAnsi="宋体" w:cs="宋体"/>
                <w:color w:val="auto"/>
                <w:sz w:val="20"/>
                <w:szCs w:val="20"/>
              </w:rPr>
            </w:pPr>
          </w:p>
        </w:tc>
        <w:tc>
          <w:tcPr>
            <w:tcW w:w="2880"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ascii="宋体" w:hAnsi="宋体" w:cs="宋体"/>
                <w:color w:val="auto"/>
                <w:sz w:val="20"/>
                <w:szCs w:val="20"/>
              </w:rPr>
            </w:pPr>
            <w:r>
              <w:rPr>
                <w:rFonts w:hint="eastAsia" w:ascii="宋体" w:hAnsi="宋体" w:cs="宋体"/>
                <w:color w:val="auto"/>
                <w:sz w:val="20"/>
                <w:szCs w:val="20"/>
              </w:rPr>
              <w:t>2.申请人逾期未按收费通知要求缴纳费用、行政机关不再处理其政府信息公开申请</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color w:val="auto"/>
                <w:sz w:val="24"/>
              </w:rPr>
              <w:t>0</w:t>
            </w:r>
          </w:p>
        </w:tc>
        <w:tc>
          <w:tcPr>
            <w:tcW w:w="639"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color w:val="auto"/>
                <w:sz w:val="24"/>
              </w:rPr>
              <w:t>0</w:t>
            </w:r>
          </w:p>
        </w:tc>
        <w:tc>
          <w:tcPr>
            <w:tcW w:w="649"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color w:val="auto"/>
              </w:rPr>
            </w:pPr>
            <w:r>
              <w:rPr>
                <w:rFonts w:hint="eastAsia" w:ascii="宋体"/>
                <w:color w:val="auto"/>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06" w:type="dxa"/>
            <w:vMerge w:val="continue"/>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ind w:firstLine="400" w:firstLineChars="200"/>
              <w:jc w:val="center"/>
              <w:textAlignment w:val="auto"/>
              <w:outlineLvl w:val="9"/>
              <w:rPr>
                <w:rFonts w:ascii="宋体" w:hAnsi="宋体" w:cs="宋体"/>
                <w:color w:val="auto"/>
                <w:sz w:val="20"/>
                <w:szCs w:val="20"/>
              </w:rPr>
            </w:pPr>
          </w:p>
        </w:tc>
        <w:tc>
          <w:tcPr>
            <w:tcW w:w="732" w:type="dxa"/>
            <w:vMerge w:val="continue"/>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ind w:firstLine="400" w:firstLineChars="200"/>
              <w:jc w:val="center"/>
              <w:textAlignment w:val="auto"/>
              <w:outlineLvl w:val="9"/>
              <w:rPr>
                <w:rFonts w:ascii="宋体" w:hAnsi="宋体" w:cs="宋体"/>
                <w:color w:val="auto"/>
                <w:sz w:val="20"/>
                <w:szCs w:val="20"/>
              </w:rPr>
            </w:pPr>
          </w:p>
        </w:tc>
        <w:tc>
          <w:tcPr>
            <w:tcW w:w="2880"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ascii="宋体" w:hAnsi="宋体" w:cs="宋体"/>
                <w:color w:val="auto"/>
                <w:sz w:val="20"/>
                <w:szCs w:val="20"/>
              </w:rPr>
            </w:pPr>
            <w:r>
              <w:rPr>
                <w:rFonts w:hint="eastAsia" w:ascii="宋体" w:hAnsi="宋体" w:cs="宋体"/>
                <w:color w:val="auto"/>
                <w:sz w:val="20"/>
                <w:szCs w:val="20"/>
              </w:rPr>
              <w:t>3.其他</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39"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49"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06" w:type="dxa"/>
            <w:vMerge w:val="continue"/>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ind w:firstLine="400" w:firstLineChars="200"/>
              <w:jc w:val="center"/>
              <w:textAlignment w:val="auto"/>
              <w:outlineLvl w:val="9"/>
              <w:rPr>
                <w:rFonts w:ascii="宋体" w:hAnsi="宋体" w:cs="宋体"/>
                <w:color w:val="auto"/>
                <w:sz w:val="20"/>
                <w:szCs w:val="20"/>
              </w:rPr>
            </w:pPr>
          </w:p>
        </w:tc>
        <w:tc>
          <w:tcPr>
            <w:tcW w:w="3612" w:type="dxa"/>
            <w:gridSpan w:val="2"/>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ascii="宋体" w:hAnsi="宋体" w:cs="宋体"/>
                <w:color w:val="auto"/>
                <w:sz w:val="20"/>
                <w:szCs w:val="20"/>
              </w:rPr>
            </w:pPr>
            <w:r>
              <w:rPr>
                <w:rFonts w:hint="eastAsia" w:ascii="宋体" w:hAnsi="宋体" w:cs="宋体"/>
                <w:color w:val="auto"/>
                <w:sz w:val="20"/>
                <w:szCs w:val="20"/>
              </w:rPr>
              <w:t>（七）总计</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39"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49"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jc w:val="center"/>
        </w:trPr>
        <w:tc>
          <w:tcPr>
            <w:tcW w:w="4218" w:type="dxa"/>
            <w:gridSpan w:val="3"/>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ascii="宋体" w:hAnsi="宋体" w:cs="宋体"/>
                <w:color w:val="auto"/>
                <w:sz w:val="20"/>
                <w:szCs w:val="20"/>
              </w:rPr>
            </w:pPr>
            <w:r>
              <w:rPr>
                <w:rFonts w:hint="eastAsia" w:ascii="宋体" w:hAnsi="宋体" w:cs="宋体"/>
                <w:color w:val="auto"/>
                <w:sz w:val="20"/>
                <w:szCs w:val="20"/>
              </w:rPr>
              <w:t>四、结转下年度继续办理</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05"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39"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c>
          <w:tcPr>
            <w:tcW w:w="649"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outlineLvl w:val="9"/>
              <w:rPr>
                <w:rFonts w:ascii="宋体"/>
                <w:color w:val="auto"/>
                <w:sz w:val="24"/>
              </w:rPr>
            </w:pPr>
            <w:r>
              <w:rPr>
                <w:rFonts w:hint="eastAsia" w:ascii="宋体"/>
                <w:color w:val="auto"/>
                <w:sz w:val="24"/>
              </w:rPr>
              <w:t>0</w:t>
            </w:r>
          </w:p>
        </w:tc>
      </w:tr>
    </w:tbl>
    <w:p>
      <w:pPr>
        <w:keepNext w:val="0"/>
        <w:keepLines w:val="0"/>
        <w:pageBreakBefore w:val="0"/>
        <w:widowControl w:val="0"/>
        <w:tabs>
          <w:tab w:val="left" w:pos="670"/>
        </w:tabs>
        <w:kinsoku/>
        <w:wordWrap/>
        <w:overflowPunct/>
        <w:topLinePunct w:val="0"/>
        <w:autoSpaceDE/>
        <w:autoSpaceDN/>
        <w:bidi w:val="0"/>
        <w:adjustRightInd/>
        <w:snapToGrid/>
        <w:spacing w:line="560" w:lineRule="exact"/>
        <w:ind w:firstLine="640" w:firstLineChars="200"/>
        <w:textAlignment w:val="auto"/>
        <w:outlineLvl w:val="9"/>
        <w:rPr>
          <w:rFonts w:hint="eastAsia" w:ascii="方正黑体_GBK" w:hAnsi="方正黑体_GBK" w:eastAsia="方正黑体_GBK" w:cs="方正黑体_GBK"/>
          <w:color w:val="auto"/>
          <w:kern w:val="0"/>
          <w:sz w:val="32"/>
          <w:szCs w:val="32"/>
        </w:rPr>
      </w:pPr>
      <w:r>
        <w:rPr>
          <w:rFonts w:hint="eastAsia" w:ascii="方正黑体_GBK" w:hAnsi="方正黑体_GBK" w:eastAsia="方正黑体_GBK" w:cs="方正黑体_GBK"/>
          <w:color w:val="auto"/>
          <w:kern w:val="0"/>
          <w:sz w:val="32"/>
          <w:szCs w:val="32"/>
          <w:lang w:eastAsia="zh-CN"/>
        </w:rPr>
        <w:t>四、</w:t>
      </w:r>
      <w:r>
        <w:rPr>
          <w:rFonts w:hint="eastAsia" w:ascii="方正黑体_GBK" w:hAnsi="方正黑体_GBK" w:eastAsia="方正黑体_GBK" w:cs="方正黑体_GBK"/>
          <w:color w:val="auto"/>
          <w:kern w:val="0"/>
          <w:sz w:val="32"/>
          <w:szCs w:val="32"/>
        </w:rPr>
        <w:t>政府信息公开行政复议、行政诉讼情况</w:t>
      </w:r>
    </w:p>
    <w:tbl>
      <w:tblPr>
        <w:tblStyle w:val="10"/>
        <w:tblW w:w="8540" w:type="dxa"/>
        <w:jc w:val="center"/>
        <w:tblInd w:w="-7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61"/>
        <w:gridCol w:w="560"/>
        <w:gridCol w:w="561"/>
        <w:gridCol w:w="561"/>
        <w:gridCol w:w="602"/>
        <w:gridCol w:w="561"/>
        <w:gridCol w:w="560"/>
        <w:gridCol w:w="561"/>
        <w:gridCol w:w="561"/>
        <w:gridCol w:w="601"/>
        <w:gridCol w:w="560"/>
        <w:gridCol w:w="562"/>
        <w:gridCol w:w="561"/>
        <w:gridCol w:w="562"/>
        <w:gridCol w:w="6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57" w:hRule="atLeast"/>
          <w:jc w:val="center"/>
        </w:trPr>
        <w:tc>
          <w:tcPr>
            <w:tcW w:w="2845" w:type="dxa"/>
            <w:gridSpan w:val="5"/>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outlineLvl w:val="9"/>
              <w:rPr>
                <w:rFonts w:ascii="宋体" w:hAnsi="宋体" w:cs="宋体"/>
                <w:color w:val="auto"/>
                <w:sz w:val="20"/>
                <w:szCs w:val="20"/>
              </w:rPr>
            </w:pPr>
            <w:r>
              <w:rPr>
                <w:rFonts w:hint="eastAsia" w:ascii="宋体" w:hAnsi="宋体" w:cs="宋体"/>
                <w:color w:val="auto"/>
                <w:sz w:val="20"/>
                <w:szCs w:val="20"/>
              </w:rPr>
              <w:t>行政复议</w:t>
            </w:r>
          </w:p>
        </w:tc>
        <w:tc>
          <w:tcPr>
            <w:tcW w:w="5695" w:type="dxa"/>
            <w:gridSpan w:val="10"/>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outlineLvl w:val="9"/>
              <w:rPr>
                <w:rFonts w:ascii="宋体" w:hAnsi="宋体" w:cs="宋体"/>
                <w:color w:val="auto"/>
                <w:sz w:val="20"/>
                <w:szCs w:val="20"/>
              </w:rPr>
            </w:pPr>
            <w:r>
              <w:rPr>
                <w:rFonts w:hint="eastAsia" w:ascii="宋体" w:hAnsi="宋体" w:cs="宋体"/>
                <w:color w:val="auto"/>
                <w:sz w:val="20"/>
                <w:szCs w:val="20"/>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78" w:hRule="atLeast"/>
          <w:jc w:val="center"/>
        </w:trPr>
        <w:tc>
          <w:tcPr>
            <w:tcW w:w="561" w:type="dxa"/>
            <w:vMerge w:val="restart"/>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ascii="宋体" w:hAnsi="宋体" w:cs="宋体"/>
                <w:color w:val="auto"/>
                <w:sz w:val="20"/>
                <w:szCs w:val="20"/>
              </w:rPr>
            </w:pPr>
            <w:r>
              <w:rPr>
                <w:rFonts w:hint="eastAsia" w:ascii="宋体" w:hAnsi="宋体" w:cs="宋体"/>
                <w:color w:val="auto"/>
                <w:sz w:val="20"/>
                <w:szCs w:val="20"/>
              </w:rPr>
              <w:t>结果维持</w:t>
            </w:r>
          </w:p>
        </w:tc>
        <w:tc>
          <w:tcPr>
            <w:tcW w:w="560" w:type="dxa"/>
            <w:vMerge w:val="restart"/>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ascii="宋体" w:hAnsi="宋体" w:cs="宋体"/>
                <w:color w:val="auto"/>
                <w:sz w:val="20"/>
                <w:szCs w:val="20"/>
              </w:rPr>
            </w:pPr>
            <w:r>
              <w:rPr>
                <w:rFonts w:hint="eastAsia" w:ascii="宋体" w:hAnsi="宋体" w:cs="宋体"/>
                <w:color w:val="auto"/>
                <w:sz w:val="20"/>
                <w:szCs w:val="20"/>
              </w:rPr>
              <w:t>结果</w:t>
            </w:r>
            <w:r>
              <w:rPr>
                <w:rFonts w:hint="eastAsia" w:ascii="宋体" w:hAnsi="宋体" w:cs="宋体"/>
                <w:color w:val="auto"/>
                <w:sz w:val="20"/>
                <w:szCs w:val="20"/>
              </w:rPr>
              <w:br w:type="textWrapping"/>
            </w:r>
            <w:r>
              <w:rPr>
                <w:rFonts w:hint="eastAsia" w:ascii="宋体" w:hAnsi="宋体" w:cs="宋体"/>
                <w:color w:val="auto"/>
                <w:sz w:val="20"/>
                <w:szCs w:val="20"/>
              </w:rPr>
              <w:t>纠正</w:t>
            </w:r>
          </w:p>
        </w:tc>
        <w:tc>
          <w:tcPr>
            <w:tcW w:w="561" w:type="dxa"/>
            <w:vMerge w:val="restart"/>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ascii="宋体" w:hAnsi="宋体" w:cs="宋体"/>
                <w:color w:val="auto"/>
                <w:sz w:val="20"/>
                <w:szCs w:val="20"/>
              </w:rPr>
            </w:pPr>
            <w:r>
              <w:rPr>
                <w:rFonts w:hint="eastAsia" w:ascii="宋体" w:hAnsi="宋体" w:cs="宋体"/>
                <w:color w:val="auto"/>
                <w:sz w:val="20"/>
                <w:szCs w:val="20"/>
              </w:rPr>
              <w:t>其他</w:t>
            </w:r>
            <w:r>
              <w:rPr>
                <w:rFonts w:hint="eastAsia" w:ascii="宋体" w:hAnsi="宋体" w:cs="宋体"/>
                <w:color w:val="auto"/>
                <w:sz w:val="20"/>
                <w:szCs w:val="20"/>
              </w:rPr>
              <w:br w:type="textWrapping"/>
            </w:r>
            <w:r>
              <w:rPr>
                <w:rFonts w:hint="eastAsia" w:ascii="宋体" w:hAnsi="宋体" w:cs="宋体"/>
                <w:color w:val="auto"/>
                <w:sz w:val="20"/>
                <w:szCs w:val="20"/>
              </w:rPr>
              <w:t>结果</w:t>
            </w:r>
          </w:p>
        </w:tc>
        <w:tc>
          <w:tcPr>
            <w:tcW w:w="561" w:type="dxa"/>
            <w:vMerge w:val="restart"/>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ascii="宋体" w:hAnsi="宋体" w:cs="宋体"/>
                <w:color w:val="auto"/>
                <w:sz w:val="20"/>
                <w:szCs w:val="20"/>
              </w:rPr>
            </w:pPr>
            <w:r>
              <w:rPr>
                <w:rFonts w:hint="eastAsia" w:ascii="宋体" w:hAnsi="宋体" w:cs="宋体"/>
                <w:color w:val="auto"/>
                <w:sz w:val="20"/>
                <w:szCs w:val="20"/>
              </w:rPr>
              <w:t>尚未</w:t>
            </w:r>
            <w:r>
              <w:rPr>
                <w:rFonts w:hint="eastAsia" w:ascii="宋体" w:hAnsi="宋体" w:cs="宋体"/>
                <w:color w:val="auto"/>
                <w:sz w:val="20"/>
                <w:szCs w:val="20"/>
              </w:rPr>
              <w:br w:type="textWrapping"/>
            </w:r>
            <w:r>
              <w:rPr>
                <w:rFonts w:hint="eastAsia" w:ascii="宋体" w:hAnsi="宋体" w:cs="宋体"/>
                <w:color w:val="auto"/>
                <w:sz w:val="20"/>
                <w:szCs w:val="20"/>
              </w:rPr>
              <w:t>审结</w:t>
            </w:r>
          </w:p>
        </w:tc>
        <w:tc>
          <w:tcPr>
            <w:tcW w:w="602" w:type="dxa"/>
            <w:vMerge w:val="restart"/>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ascii="宋体" w:hAnsi="宋体" w:cs="宋体"/>
                <w:color w:val="auto"/>
                <w:sz w:val="20"/>
                <w:szCs w:val="20"/>
              </w:rPr>
            </w:pPr>
            <w:r>
              <w:rPr>
                <w:rFonts w:hint="eastAsia" w:ascii="宋体" w:hAnsi="宋体" w:cs="宋体"/>
                <w:color w:val="auto"/>
                <w:sz w:val="20"/>
                <w:szCs w:val="20"/>
              </w:rPr>
              <w:t>总计</w:t>
            </w:r>
          </w:p>
        </w:tc>
        <w:tc>
          <w:tcPr>
            <w:tcW w:w="2844" w:type="dxa"/>
            <w:gridSpan w:val="5"/>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outlineLvl w:val="9"/>
              <w:rPr>
                <w:rFonts w:ascii="宋体" w:hAnsi="宋体" w:cs="宋体"/>
                <w:color w:val="auto"/>
                <w:sz w:val="20"/>
                <w:szCs w:val="20"/>
              </w:rPr>
            </w:pPr>
            <w:r>
              <w:rPr>
                <w:rFonts w:hint="eastAsia" w:ascii="宋体" w:hAnsi="宋体" w:cs="宋体"/>
                <w:color w:val="auto"/>
                <w:sz w:val="20"/>
                <w:szCs w:val="20"/>
              </w:rPr>
              <w:t>未经复议直接起诉</w:t>
            </w:r>
          </w:p>
        </w:tc>
        <w:tc>
          <w:tcPr>
            <w:tcW w:w="2851" w:type="dxa"/>
            <w:gridSpan w:val="5"/>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exact"/>
              <w:ind w:firstLine="400" w:firstLineChars="200"/>
              <w:jc w:val="center"/>
              <w:textAlignment w:val="auto"/>
              <w:outlineLvl w:val="9"/>
              <w:rPr>
                <w:rFonts w:ascii="宋体" w:hAnsi="宋体" w:cs="宋体"/>
                <w:color w:val="auto"/>
                <w:sz w:val="20"/>
                <w:szCs w:val="20"/>
              </w:rPr>
            </w:pPr>
            <w:r>
              <w:rPr>
                <w:rFonts w:hint="eastAsia" w:ascii="宋体" w:hAnsi="宋体" w:cs="宋体"/>
                <w:color w:val="auto"/>
                <w:sz w:val="20"/>
                <w:szCs w:val="20"/>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20" w:hRule="atLeast"/>
          <w:jc w:val="center"/>
        </w:trPr>
        <w:tc>
          <w:tcPr>
            <w:tcW w:w="561" w:type="dxa"/>
            <w:vMerge w:val="continue"/>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ind w:firstLine="400" w:firstLineChars="200"/>
              <w:jc w:val="center"/>
              <w:textAlignment w:val="auto"/>
              <w:outlineLvl w:val="9"/>
              <w:rPr>
                <w:rFonts w:ascii="宋体" w:hAnsi="宋体" w:cs="宋体"/>
                <w:color w:val="auto"/>
                <w:sz w:val="20"/>
                <w:szCs w:val="20"/>
              </w:rPr>
            </w:pPr>
          </w:p>
        </w:tc>
        <w:tc>
          <w:tcPr>
            <w:tcW w:w="560" w:type="dxa"/>
            <w:vMerge w:val="continue"/>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ind w:firstLine="400" w:firstLineChars="200"/>
              <w:jc w:val="center"/>
              <w:textAlignment w:val="auto"/>
              <w:outlineLvl w:val="9"/>
              <w:rPr>
                <w:rFonts w:ascii="宋体" w:hAnsi="宋体" w:cs="宋体"/>
                <w:color w:val="auto"/>
                <w:sz w:val="20"/>
                <w:szCs w:val="20"/>
              </w:rPr>
            </w:pPr>
          </w:p>
        </w:tc>
        <w:tc>
          <w:tcPr>
            <w:tcW w:w="561" w:type="dxa"/>
            <w:vMerge w:val="continue"/>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ind w:firstLine="400" w:firstLineChars="200"/>
              <w:jc w:val="center"/>
              <w:textAlignment w:val="auto"/>
              <w:outlineLvl w:val="9"/>
              <w:rPr>
                <w:rFonts w:ascii="宋体" w:hAnsi="宋体" w:cs="宋体"/>
                <w:color w:val="auto"/>
                <w:sz w:val="20"/>
                <w:szCs w:val="20"/>
              </w:rPr>
            </w:pPr>
          </w:p>
        </w:tc>
        <w:tc>
          <w:tcPr>
            <w:tcW w:w="561" w:type="dxa"/>
            <w:vMerge w:val="continue"/>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ind w:firstLine="400" w:firstLineChars="200"/>
              <w:jc w:val="center"/>
              <w:textAlignment w:val="auto"/>
              <w:outlineLvl w:val="9"/>
              <w:rPr>
                <w:rFonts w:ascii="宋体" w:hAnsi="宋体" w:cs="宋体"/>
                <w:color w:val="auto"/>
                <w:sz w:val="20"/>
                <w:szCs w:val="20"/>
              </w:rPr>
            </w:pPr>
          </w:p>
        </w:tc>
        <w:tc>
          <w:tcPr>
            <w:tcW w:w="602" w:type="dxa"/>
            <w:vMerge w:val="continue"/>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keepNext w:val="0"/>
              <w:keepLines w:val="0"/>
              <w:pageBreakBefore w:val="0"/>
              <w:kinsoku/>
              <w:wordWrap/>
              <w:overflowPunct/>
              <w:topLinePunct w:val="0"/>
              <w:autoSpaceDE/>
              <w:autoSpaceDN/>
              <w:bidi w:val="0"/>
              <w:adjustRightInd/>
              <w:snapToGrid/>
              <w:spacing w:line="240" w:lineRule="exact"/>
              <w:ind w:firstLine="400" w:firstLineChars="200"/>
              <w:jc w:val="center"/>
              <w:textAlignment w:val="auto"/>
              <w:outlineLvl w:val="9"/>
              <w:rPr>
                <w:rFonts w:ascii="宋体" w:hAnsi="宋体" w:cs="宋体"/>
                <w:color w:val="auto"/>
                <w:sz w:val="20"/>
                <w:szCs w:val="20"/>
              </w:rPr>
            </w:pPr>
          </w:p>
        </w:tc>
        <w:tc>
          <w:tcPr>
            <w:tcW w:w="561"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ascii="宋体" w:hAnsi="宋体" w:cs="宋体"/>
                <w:color w:val="auto"/>
                <w:sz w:val="20"/>
                <w:szCs w:val="20"/>
              </w:rPr>
            </w:pPr>
            <w:r>
              <w:rPr>
                <w:rFonts w:hint="eastAsia" w:ascii="宋体" w:hAnsi="宋体" w:cs="宋体"/>
                <w:color w:val="auto"/>
                <w:sz w:val="20"/>
                <w:szCs w:val="20"/>
              </w:rPr>
              <w:t>结果</w:t>
            </w:r>
            <w:r>
              <w:rPr>
                <w:rFonts w:hint="eastAsia" w:ascii="宋体" w:hAnsi="宋体" w:cs="宋体"/>
                <w:color w:val="auto"/>
                <w:sz w:val="20"/>
                <w:szCs w:val="20"/>
              </w:rPr>
              <w:br w:type="textWrapping"/>
            </w:r>
            <w:r>
              <w:rPr>
                <w:rFonts w:hint="eastAsia" w:ascii="宋体" w:hAnsi="宋体" w:cs="宋体"/>
                <w:color w:val="auto"/>
                <w:sz w:val="20"/>
                <w:szCs w:val="20"/>
              </w:rPr>
              <w:t>维持</w:t>
            </w:r>
          </w:p>
        </w:tc>
        <w:tc>
          <w:tcPr>
            <w:tcW w:w="560"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ascii="宋体" w:hAnsi="宋体" w:cs="宋体"/>
                <w:color w:val="auto"/>
                <w:sz w:val="20"/>
                <w:szCs w:val="20"/>
              </w:rPr>
            </w:pPr>
            <w:r>
              <w:rPr>
                <w:rFonts w:hint="eastAsia" w:ascii="宋体" w:hAnsi="宋体" w:cs="宋体"/>
                <w:color w:val="auto"/>
                <w:sz w:val="20"/>
                <w:szCs w:val="20"/>
              </w:rPr>
              <w:t>结果</w:t>
            </w:r>
            <w:r>
              <w:rPr>
                <w:rFonts w:hint="eastAsia" w:ascii="宋体" w:hAnsi="宋体" w:cs="宋体"/>
                <w:color w:val="auto"/>
                <w:sz w:val="20"/>
                <w:szCs w:val="20"/>
              </w:rPr>
              <w:br w:type="textWrapping"/>
            </w:r>
            <w:r>
              <w:rPr>
                <w:rFonts w:hint="eastAsia" w:ascii="宋体" w:hAnsi="宋体" w:cs="宋体"/>
                <w:color w:val="auto"/>
                <w:sz w:val="20"/>
                <w:szCs w:val="20"/>
              </w:rPr>
              <w:t>纠正</w:t>
            </w:r>
          </w:p>
        </w:tc>
        <w:tc>
          <w:tcPr>
            <w:tcW w:w="561"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ascii="宋体" w:hAnsi="宋体" w:cs="宋体"/>
                <w:color w:val="auto"/>
                <w:sz w:val="20"/>
                <w:szCs w:val="20"/>
              </w:rPr>
            </w:pPr>
            <w:r>
              <w:rPr>
                <w:rFonts w:hint="eastAsia" w:ascii="宋体" w:hAnsi="宋体" w:cs="宋体"/>
                <w:color w:val="auto"/>
                <w:sz w:val="20"/>
                <w:szCs w:val="20"/>
              </w:rPr>
              <w:t>其他</w:t>
            </w:r>
            <w:r>
              <w:rPr>
                <w:rFonts w:hint="eastAsia" w:ascii="宋体" w:hAnsi="宋体" w:cs="宋体"/>
                <w:color w:val="auto"/>
                <w:sz w:val="20"/>
                <w:szCs w:val="20"/>
              </w:rPr>
              <w:br w:type="textWrapping"/>
            </w:r>
            <w:r>
              <w:rPr>
                <w:rFonts w:hint="eastAsia" w:ascii="宋体" w:hAnsi="宋体" w:cs="宋体"/>
                <w:color w:val="auto"/>
                <w:sz w:val="20"/>
                <w:szCs w:val="20"/>
              </w:rPr>
              <w:t>结果</w:t>
            </w:r>
          </w:p>
        </w:tc>
        <w:tc>
          <w:tcPr>
            <w:tcW w:w="561"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ascii="宋体" w:hAnsi="宋体" w:cs="宋体"/>
                <w:color w:val="auto"/>
                <w:sz w:val="20"/>
                <w:szCs w:val="20"/>
              </w:rPr>
            </w:pPr>
            <w:r>
              <w:rPr>
                <w:rFonts w:hint="eastAsia" w:ascii="宋体" w:hAnsi="宋体" w:cs="宋体"/>
                <w:color w:val="auto"/>
                <w:sz w:val="20"/>
                <w:szCs w:val="20"/>
              </w:rPr>
              <w:t>尚未</w:t>
            </w:r>
            <w:r>
              <w:rPr>
                <w:rFonts w:hint="eastAsia" w:ascii="宋体" w:hAnsi="宋体" w:cs="宋体"/>
                <w:color w:val="auto"/>
                <w:sz w:val="20"/>
                <w:szCs w:val="20"/>
              </w:rPr>
              <w:br w:type="textWrapping"/>
            </w:r>
            <w:r>
              <w:rPr>
                <w:rFonts w:hint="eastAsia" w:ascii="宋体" w:hAnsi="宋体" w:cs="宋体"/>
                <w:color w:val="auto"/>
                <w:sz w:val="20"/>
                <w:szCs w:val="20"/>
              </w:rPr>
              <w:t>审结</w:t>
            </w:r>
          </w:p>
        </w:tc>
        <w:tc>
          <w:tcPr>
            <w:tcW w:w="601"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ascii="宋体" w:hAnsi="宋体" w:cs="宋体"/>
                <w:color w:val="auto"/>
                <w:sz w:val="20"/>
                <w:szCs w:val="20"/>
              </w:rPr>
            </w:pPr>
            <w:r>
              <w:rPr>
                <w:rFonts w:hint="eastAsia" w:ascii="宋体" w:hAnsi="宋体" w:cs="宋体"/>
                <w:color w:val="auto"/>
                <w:sz w:val="20"/>
                <w:szCs w:val="20"/>
              </w:rPr>
              <w:t>总计</w:t>
            </w:r>
          </w:p>
        </w:tc>
        <w:tc>
          <w:tcPr>
            <w:tcW w:w="560"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ascii="宋体" w:hAnsi="宋体" w:cs="宋体"/>
                <w:color w:val="auto"/>
                <w:sz w:val="20"/>
                <w:szCs w:val="20"/>
              </w:rPr>
            </w:pPr>
            <w:r>
              <w:rPr>
                <w:rFonts w:hint="eastAsia" w:ascii="宋体" w:hAnsi="宋体" w:cs="宋体"/>
                <w:color w:val="auto"/>
                <w:sz w:val="20"/>
                <w:szCs w:val="20"/>
              </w:rPr>
              <w:t>结果</w:t>
            </w:r>
            <w:r>
              <w:rPr>
                <w:rFonts w:hint="eastAsia" w:ascii="宋体" w:hAnsi="宋体" w:cs="宋体"/>
                <w:color w:val="auto"/>
                <w:sz w:val="20"/>
                <w:szCs w:val="20"/>
              </w:rPr>
              <w:br w:type="textWrapping"/>
            </w:r>
            <w:r>
              <w:rPr>
                <w:rFonts w:hint="eastAsia" w:ascii="宋体" w:hAnsi="宋体" w:cs="宋体"/>
                <w:color w:val="auto"/>
                <w:sz w:val="20"/>
                <w:szCs w:val="20"/>
              </w:rPr>
              <w:t>维持</w:t>
            </w:r>
          </w:p>
        </w:tc>
        <w:tc>
          <w:tcPr>
            <w:tcW w:w="562"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ascii="宋体" w:hAnsi="宋体" w:cs="宋体"/>
                <w:color w:val="auto"/>
                <w:sz w:val="20"/>
                <w:szCs w:val="20"/>
              </w:rPr>
            </w:pPr>
            <w:r>
              <w:rPr>
                <w:rFonts w:hint="eastAsia" w:ascii="宋体" w:hAnsi="宋体" w:cs="宋体"/>
                <w:color w:val="auto"/>
                <w:sz w:val="20"/>
                <w:szCs w:val="20"/>
              </w:rPr>
              <w:t>结果</w:t>
            </w:r>
            <w:r>
              <w:rPr>
                <w:rFonts w:hint="eastAsia" w:ascii="宋体" w:hAnsi="宋体" w:cs="宋体"/>
                <w:color w:val="auto"/>
                <w:sz w:val="20"/>
                <w:szCs w:val="20"/>
              </w:rPr>
              <w:br w:type="textWrapping"/>
            </w:r>
            <w:r>
              <w:rPr>
                <w:rFonts w:hint="eastAsia" w:ascii="宋体" w:hAnsi="宋体" w:cs="宋体"/>
                <w:color w:val="auto"/>
                <w:sz w:val="20"/>
                <w:szCs w:val="20"/>
              </w:rPr>
              <w:t>纠正</w:t>
            </w:r>
          </w:p>
        </w:tc>
        <w:tc>
          <w:tcPr>
            <w:tcW w:w="561"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ascii="宋体" w:hAnsi="宋体" w:cs="宋体"/>
                <w:color w:val="auto"/>
                <w:sz w:val="20"/>
                <w:szCs w:val="20"/>
              </w:rPr>
            </w:pPr>
            <w:r>
              <w:rPr>
                <w:rFonts w:hint="eastAsia" w:ascii="宋体" w:hAnsi="宋体" w:cs="宋体"/>
                <w:color w:val="auto"/>
                <w:sz w:val="20"/>
                <w:szCs w:val="20"/>
              </w:rPr>
              <w:t>其他</w:t>
            </w:r>
            <w:r>
              <w:rPr>
                <w:rFonts w:hint="eastAsia" w:ascii="宋体" w:hAnsi="宋体" w:cs="宋体"/>
                <w:color w:val="auto"/>
                <w:sz w:val="20"/>
                <w:szCs w:val="20"/>
              </w:rPr>
              <w:br w:type="textWrapping"/>
            </w:r>
            <w:r>
              <w:rPr>
                <w:rFonts w:hint="eastAsia" w:ascii="宋体" w:hAnsi="宋体" w:cs="宋体"/>
                <w:color w:val="auto"/>
                <w:sz w:val="20"/>
                <w:szCs w:val="20"/>
              </w:rPr>
              <w:t>结果</w:t>
            </w:r>
          </w:p>
        </w:tc>
        <w:tc>
          <w:tcPr>
            <w:tcW w:w="562"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ascii="宋体" w:hAnsi="宋体" w:cs="宋体"/>
                <w:color w:val="auto"/>
                <w:sz w:val="20"/>
                <w:szCs w:val="20"/>
              </w:rPr>
            </w:pPr>
            <w:r>
              <w:rPr>
                <w:rFonts w:hint="eastAsia" w:ascii="宋体" w:hAnsi="宋体" w:cs="宋体"/>
                <w:color w:val="auto"/>
                <w:sz w:val="20"/>
                <w:szCs w:val="20"/>
              </w:rPr>
              <w:t>尚未</w:t>
            </w:r>
            <w:r>
              <w:rPr>
                <w:rFonts w:hint="eastAsia" w:ascii="宋体" w:hAnsi="宋体" w:cs="宋体"/>
                <w:color w:val="auto"/>
                <w:sz w:val="20"/>
                <w:szCs w:val="20"/>
              </w:rPr>
              <w:br w:type="textWrapping"/>
            </w:r>
            <w:r>
              <w:rPr>
                <w:rFonts w:hint="eastAsia" w:ascii="宋体" w:hAnsi="宋体" w:cs="宋体"/>
                <w:color w:val="auto"/>
                <w:sz w:val="20"/>
                <w:szCs w:val="20"/>
              </w:rPr>
              <w:t>审结</w:t>
            </w:r>
          </w:p>
        </w:tc>
        <w:tc>
          <w:tcPr>
            <w:tcW w:w="606"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exact"/>
              <w:jc w:val="both"/>
              <w:textAlignment w:val="auto"/>
              <w:outlineLvl w:val="9"/>
              <w:rPr>
                <w:rFonts w:ascii="宋体" w:hAnsi="宋体" w:cs="宋体"/>
                <w:color w:val="auto"/>
                <w:sz w:val="20"/>
                <w:szCs w:val="20"/>
              </w:rPr>
            </w:pPr>
            <w:r>
              <w:rPr>
                <w:rFonts w:hint="eastAsia" w:ascii="宋体" w:hAnsi="宋体" w:cs="宋体"/>
                <w:color w:val="auto"/>
                <w:sz w:val="20"/>
                <w:szCs w:val="20"/>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50" w:hRule="atLeast"/>
          <w:jc w:val="center"/>
        </w:trPr>
        <w:tc>
          <w:tcPr>
            <w:tcW w:w="561"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s="宋体"/>
                <w:color w:val="auto"/>
                <w:sz w:val="20"/>
                <w:szCs w:val="20"/>
              </w:rPr>
            </w:pPr>
            <w:r>
              <w:rPr>
                <w:rFonts w:hint="eastAsia" w:ascii="宋体" w:hAnsi="宋体" w:cs="宋体"/>
                <w:color w:val="auto"/>
                <w:sz w:val="20"/>
                <w:szCs w:val="20"/>
              </w:rPr>
              <w:t>0</w:t>
            </w:r>
          </w:p>
        </w:tc>
        <w:tc>
          <w:tcPr>
            <w:tcW w:w="560"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s="宋体"/>
                <w:color w:val="auto"/>
                <w:sz w:val="20"/>
                <w:szCs w:val="20"/>
              </w:rPr>
            </w:pPr>
            <w:r>
              <w:rPr>
                <w:rFonts w:hint="eastAsia" w:ascii="宋体" w:hAnsi="宋体" w:cs="宋体"/>
                <w:color w:val="auto"/>
                <w:sz w:val="20"/>
                <w:szCs w:val="20"/>
              </w:rPr>
              <w:t>0</w:t>
            </w:r>
          </w:p>
        </w:tc>
        <w:tc>
          <w:tcPr>
            <w:tcW w:w="561"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s="宋体"/>
                <w:color w:val="auto"/>
                <w:sz w:val="20"/>
                <w:szCs w:val="20"/>
              </w:rPr>
            </w:pPr>
            <w:r>
              <w:rPr>
                <w:rFonts w:hint="eastAsia" w:ascii="宋体" w:hAnsi="宋体" w:cs="宋体"/>
                <w:color w:val="auto"/>
                <w:sz w:val="20"/>
                <w:szCs w:val="20"/>
              </w:rPr>
              <w:t>0</w:t>
            </w:r>
          </w:p>
        </w:tc>
        <w:tc>
          <w:tcPr>
            <w:tcW w:w="561"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s="宋体"/>
                <w:color w:val="auto"/>
                <w:sz w:val="20"/>
                <w:szCs w:val="20"/>
              </w:rPr>
            </w:pPr>
            <w:r>
              <w:rPr>
                <w:rFonts w:hint="eastAsia" w:ascii="宋体" w:hAnsi="宋体" w:cs="宋体"/>
                <w:color w:val="auto"/>
                <w:sz w:val="20"/>
                <w:szCs w:val="20"/>
              </w:rPr>
              <w:t>0</w:t>
            </w:r>
          </w:p>
        </w:tc>
        <w:tc>
          <w:tcPr>
            <w:tcW w:w="602"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s="宋体"/>
                <w:color w:val="auto"/>
                <w:sz w:val="20"/>
                <w:szCs w:val="20"/>
              </w:rPr>
            </w:pPr>
            <w:r>
              <w:rPr>
                <w:rFonts w:hint="eastAsia" w:ascii="宋体" w:hAnsi="宋体" w:cs="宋体"/>
                <w:color w:val="auto"/>
                <w:sz w:val="20"/>
                <w:szCs w:val="20"/>
              </w:rPr>
              <w:t>0</w:t>
            </w:r>
          </w:p>
        </w:tc>
        <w:tc>
          <w:tcPr>
            <w:tcW w:w="561"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s="宋体"/>
                <w:color w:val="auto"/>
                <w:sz w:val="20"/>
                <w:szCs w:val="20"/>
              </w:rPr>
            </w:pPr>
            <w:r>
              <w:rPr>
                <w:rFonts w:hint="eastAsia" w:ascii="宋体" w:hAnsi="宋体" w:cs="宋体"/>
                <w:color w:val="auto"/>
                <w:sz w:val="20"/>
                <w:szCs w:val="20"/>
              </w:rPr>
              <w:t>0</w:t>
            </w:r>
          </w:p>
        </w:tc>
        <w:tc>
          <w:tcPr>
            <w:tcW w:w="560"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s="宋体"/>
                <w:color w:val="auto"/>
                <w:sz w:val="20"/>
                <w:szCs w:val="20"/>
              </w:rPr>
            </w:pPr>
            <w:r>
              <w:rPr>
                <w:rFonts w:hint="eastAsia" w:ascii="宋体" w:hAnsi="宋体" w:cs="宋体"/>
                <w:color w:val="auto"/>
                <w:sz w:val="20"/>
                <w:szCs w:val="20"/>
              </w:rPr>
              <w:t>0</w:t>
            </w:r>
          </w:p>
        </w:tc>
        <w:tc>
          <w:tcPr>
            <w:tcW w:w="561"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s="宋体"/>
                <w:color w:val="auto"/>
                <w:sz w:val="20"/>
                <w:szCs w:val="20"/>
              </w:rPr>
            </w:pPr>
            <w:r>
              <w:rPr>
                <w:rFonts w:hint="eastAsia" w:ascii="宋体" w:hAnsi="宋体" w:cs="宋体"/>
                <w:color w:val="auto"/>
                <w:sz w:val="20"/>
                <w:szCs w:val="20"/>
              </w:rPr>
              <w:t>0</w:t>
            </w:r>
          </w:p>
        </w:tc>
        <w:tc>
          <w:tcPr>
            <w:tcW w:w="561"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s="宋体"/>
                <w:color w:val="auto"/>
                <w:sz w:val="20"/>
                <w:szCs w:val="20"/>
              </w:rPr>
            </w:pPr>
            <w:r>
              <w:rPr>
                <w:rFonts w:hint="eastAsia" w:ascii="宋体" w:hAnsi="宋体" w:cs="宋体"/>
                <w:color w:val="auto"/>
                <w:sz w:val="20"/>
                <w:szCs w:val="20"/>
              </w:rPr>
              <w:t>0</w:t>
            </w:r>
          </w:p>
        </w:tc>
        <w:tc>
          <w:tcPr>
            <w:tcW w:w="601"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s="宋体"/>
                <w:color w:val="auto"/>
                <w:sz w:val="20"/>
                <w:szCs w:val="20"/>
              </w:rPr>
            </w:pPr>
            <w:r>
              <w:rPr>
                <w:rFonts w:hint="eastAsia" w:ascii="宋体" w:hAnsi="宋体" w:cs="宋体"/>
                <w:color w:val="auto"/>
                <w:sz w:val="20"/>
                <w:szCs w:val="20"/>
              </w:rPr>
              <w:t>0</w:t>
            </w:r>
          </w:p>
        </w:tc>
        <w:tc>
          <w:tcPr>
            <w:tcW w:w="560"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s="宋体"/>
                <w:color w:val="auto"/>
                <w:sz w:val="20"/>
                <w:szCs w:val="20"/>
              </w:rPr>
            </w:pPr>
            <w:r>
              <w:rPr>
                <w:rFonts w:hint="eastAsia" w:ascii="宋体" w:hAnsi="宋体" w:cs="宋体"/>
                <w:color w:val="auto"/>
                <w:sz w:val="20"/>
                <w:szCs w:val="20"/>
              </w:rPr>
              <w:t>0</w:t>
            </w:r>
          </w:p>
        </w:tc>
        <w:tc>
          <w:tcPr>
            <w:tcW w:w="562"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s="宋体"/>
                <w:color w:val="auto"/>
                <w:sz w:val="20"/>
                <w:szCs w:val="20"/>
              </w:rPr>
            </w:pPr>
            <w:r>
              <w:rPr>
                <w:rFonts w:hint="eastAsia" w:ascii="宋体" w:hAnsi="宋体" w:cs="宋体"/>
                <w:color w:val="auto"/>
                <w:sz w:val="20"/>
                <w:szCs w:val="20"/>
              </w:rPr>
              <w:t>0</w:t>
            </w:r>
          </w:p>
        </w:tc>
        <w:tc>
          <w:tcPr>
            <w:tcW w:w="561"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s="宋体"/>
                <w:color w:val="auto"/>
                <w:sz w:val="20"/>
                <w:szCs w:val="20"/>
              </w:rPr>
            </w:pPr>
            <w:r>
              <w:rPr>
                <w:rFonts w:hint="eastAsia" w:ascii="宋体" w:hAnsi="宋体" w:cs="宋体"/>
                <w:color w:val="auto"/>
                <w:sz w:val="20"/>
                <w:szCs w:val="20"/>
              </w:rPr>
              <w:t>0</w:t>
            </w:r>
          </w:p>
        </w:tc>
        <w:tc>
          <w:tcPr>
            <w:tcW w:w="562"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s="宋体"/>
                <w:color w:val="auto"/>
                <w:sz w:val="20"/>
                <w:szCs w:val="20"/>
              </w:rPr>
            </w:pPr>
            <w:r>
              <w:rPr>
                <w:rFonts w:hint="eastAsia" w:ascii="宋体" w:hAnsi="宋体" w:cs="宋体"/>
                <w:color w:val="auto"/>
                <w:sz w:val="20"/>
                <w:szCs w:val="20"/>
              </w:rPr>
              <w:t>0</w:t>
            </w:r>
          </w:p>
        </w:tc>
        <w:tc>
          <w:tcPr>
            <w:tcW w:w="606" w:type="dxa"/>
            <w:tcBorders>
              <w:top w:val="single" w:color="666666" w:sz="6" w:space="0"/>
              <w:left w:val="single" w:color="666666" w:sz="6" w:space="0"/>
              <w:bottom w:val="single" w:color="666666" w:sz="6" w:space="0"/>
              <w:right w:val="single" w:color="666666" w:sz="6" w:space="0"/>
            </w:tcBorders>
            <w:tcMar>
              <w:top w:w="30" w:type="dxa"/>
              <w:left w:w="75" w:type="dxa"/>
              <w:bottom w:w="30" w:type="dxa"/>
              <w:right w:w="75" w:type="dxa"/>
            </w:tcMar>
            <w:vAlign w:val="center"/>
          </w:tcPr>
          <w:p>
            <w:pPr>
              <w:pStyle w:val="11"/>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宋体" w:hAnsi="宋体" w:cs="宋体"/>
                <w:color w:val="auto"/>
                <w:sz w:val="20"/>
                <w:szCs w:val="20"/>
              </w:rPr>
            </w:pPr>
            <w:r>
              <w:rPr>
                <w:rFonts w:hint="eastAsia" w:ascii="宋体" w:hAnsi="宋体" w:cs="宋体"/>
                <w:color w:val="auto"/>
                <w:sz w:val="20"/>
                <w:szCs w:val="20"/>
              </w:rPr>
              <w:t>0</w:t>
            </w:r>
          </w:p>
        </w:tc>
      </w:tr>
    </w:tbl>
    <w:p>
      <w:pPr>
        <w:keepNext w:val="0"/>
        <w:keepLines w:val="0"/>
        <w:pageBreakBefore w:val="0"/>
        <w:widowControl w:val="0"/>
        <w:tabs>
          <w:tab w:val="left" w:pos="670"/>
        </w:tabs>
        <w:kinsoku/>
        <w:wordWrap/>
        <w:overflowPunct/>
        <w:topLinePunct w:val="0"/>
        <w:autoSpaceDE/>
        <w:autoSpaceDN/>
        <w:bidi w:val="0"/>
        <w:adjustRightInd/>
        <w:snapToGrid/>
        <w:spacing w:line="520" w:lineRule="exact"/>
        <w:ind w:firstLine="640" w:firstLineChars="200"/>
        <w:textAlignment w:val="auto"/>
        <w:outlineLvl w:val="9"/>
        <w:rPr>
          <w:rFonts w:hint="eastAsia" w:ascii="黑体" w:hAnsi="黑体" w:eastAsia="黑体" w:cs="方正黑体_GBK"/>
          <w:color w:val="auto"/>
          <w:kern w:val="0"/>
          <w:sz w:val="32"/>
          <w:szCs w:val="32"/>
          <w:shd w:val="clear" w:color="auto" w:fill="FFFFFF"/>
        </w:rPr>
      </w:pPr>
      <w:r>
        <w:rPr>
          <w:rFonts w:hint="eastAsia" w:ascii="黑体" w:hAnsi="黑体" w:eastAsia="黑体" w:cs="方正黑体_GBK"/>
          <w:color w:val="auto"/>
          <w:kern w:val="0"/>
          <w:sz w:val="32"/>
          <w:szCs w:val="32"/>
          <w:shd w:val="clear" w:color="auto" w:fill="FFFFFF"/>
        </w:rPr>
        <w:t>五、存在的主要问题及改进情况</w:t>
      </w:r>
    </w:p>
    <w:p>
      <w:pPr>
        <w:keepNext w:val="0"/>
        <w:keepLines w:val="0"/>
        <w:pageBreakBefore w:val="0"/>
        <w:widowControl w:val="0"/>
        <w:tabs>
          <w:tab w:val="left" w:pos="670"/>
        </w:tabs>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宋体"/>
          <w:color w:val="auto"/>
          <w:kern w:val="0"/>
          <w:sz w:val="32"/>
          <w:szCs w:val="32"/>
          <w:shd w:val="clear" w:color="auto" w:fill="FFFFFF"/>
        </w:rPr>
      </w:pPr>
      <w:r>
        <w:rPr>
          <w:rFonts w:hint="eastAsia" w:ascii="方正楷体_GBK" w:hAnsi="方正楷体_GBK" w:eastAsia="方正楷体_GBK" w:cs="方正楷体_GBK"/>
          <w:color w:val="auto"/>
          <w:kern w:val="0"/>
          <w:sz w:val="32"/>
          <w:szCs w:val="32"/>
          <w:shd w:val="clear" w:color="auto" w:fill="FFFFFF"/>
        </w:rPr>
        <w:t>（一）存在的不足</w:t>
      </w:r>
      <w:r>
        <w:rPr>
          <w:rFonts w:hint="eastAsia" w:ascii="方正楷体_GBK" w:hAnsi="方正楷体_GBK" w:eastAsia="方正楷体_GBK" w:cs="方正楷体_GBK"/>
          <w:color w:val="auto"/>
          <w:kern w:val="0"/>
          <w:sz w:val="32"/>
          <w:szCs w:val="32"/>
          <w:shd w:val="clear" w:color="auto" w:fill="FFFFFF"/>
          <w:lang w:eastAsia="zh-CN"/>
        </w:rPr>
        <w:t>。</w:t>
      </w:r>
      <w:r>
        <w:rPr>
          <w:rFonts w:hint="eastAsia" w:ascii="仿宋_GB2312" w:hAnsi="仿宋_GB2312" w:eastAsia="仿宋_GB2312" w:cs="宋体"/>
          <w:color w:val="auto"/>
          <w:kern w:val="0"/>
          <w:sz w:val="32"/>
          <w:szCs w:val="32"/>
          <w:shd w:val="clear" w:color="auto" w:fill="FFFFFF"/>
        </w:rPr>
        <w:t>对照《政府信息公开条例》要求，2022年地区信访局主动公开内容较少，主动公开内容有待于进一步挖掘和扩展，政策解读工作有待进一步加强和深化。</w:t>
      </w:r>
    </w:p>
    <w:p>
      <w:pPr>
        <w:keepNext w:val="0"/>
        <w:keepLines w:val="0"/>
        <w:pageBreakBefore w:val="0"/>
        <w:widowControl w:val="0"/>
        <w:tabs>
          <w:tab w:val="left" w:pos="670"/>
        </w:tabs>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宋体"/>
          <w:color w:val="auto"/>
          <w:kern w:val="0"/>
          <w:sz w:val="32"/>
          <w:szCs w:val="32"/>
          <w:shd w:val="clear" w:color="auto" w:fill="FFFFFF"/>
        </w:rPr>
      </w:pPr>
      <w:r>
        <w:rPr>
          <w:rFonts w:hint="eastAsia" w:ascii="方正楷体_GBK" w:hAnsi="方正楷体_GBK" w:eastAsia="方正楷体_GBK" w:cs="方正楷体_GBK"/>
          <w:color w:val="auto"/>
          <w:kern w:val="0"/>
          <w:sz w:val="32"/>
          <w:szCs w:val="32"/>
          <w:shd w:val="clear" w:color="auto" w:fill="FFFFFF"/>
        </w:rPr>
        <w:t>（二）改进措施</w:t>
      </w:r>
      <w:r>
        <w:rPr>
          <w:rFonts w:hint="eastAsia" w:ascii="方正楷体_GBK" w:hAnsi="方正楷体_GBK" w:eastAsia="方正楷体_GBK" w:cs="方正楷体_GBK"/>
          <w:color w:val="auto"/>
          <w:kern w:val="0"/>
          <w:sz w:val="32"/>
          <w:szCs w:val="32"/>
          <w:shd w:val="clear" w:color="auto" w:fill="FFFFFF"/>
          <w:lang w:eastAsia="zh-CN"/>
        </w:rPr>
        <w:t>。</w:t>
      </w:r>
      <w:r>
        <w:rPr>
          <w:rFonts w:hint="eastAsia" w:ascii="仿宋_GB2312" w:hAnsi="仿宋_GB2312" w:eastAsia="仿宋_GB2312" w:cs="宋体"/>
          <w:color w:val="auto"/>
          <w:kern w:val="0"/>
          <w:sz w:val="32"/>
          <w:szCs w:val="32"/>
          <w:shd w:val="clear" w:color="auto" w:fill="FFFFFF"/>
        </w:rPr>
        <w:t>地区信访局坚持以习近平新时代中国特色社会主义思想为指导，全面贯彻落实党的十九大、十九届历次全会和党的二十大精神，按照《政府信息公开条例》的要求，加强信访工作政策解读和宣传，切实保障群众知情权，为群众提供更加优质、高效的服务。</w:t>
      </w:r>
    </w:p>
    <w:p>
      <w:pPr>
        <w:keepNext w:val="0"/>
        <w:keepLines w:val="0"/>
        <w:pageBreakBefore w:val="0"/>
        <w:widowControl w:val="0"/>
        <w:tabs>
          <w:tab w:val="left" w:pos="670"/>
        </w:tabs>
        <w:kinsoku/>
        <w:wordWrap/>
        <w:overflowPunct/>
        <w:topLinePunct w:val="0"/>
        <w:autoSpaceDE/>
        <w:autoSpaceDN/>
        <w:bidi w:val="0"/>
        <w:adjustRightInd/>
        <w:snapToGrid/>
        <w:spacing w:line="520" w:lineRule="exact"/>
        <w:ind w:firstLine="640" w:firstLineChars="200"/>
        <w:textAlignment w:val="auto"/>
        <w:outlineLvl w:val="9"/>
        <w:rPr>
          <w:rFonts w:hint="eastAsia" w:ascii="方正黑体_GBK" w:hAnsi="方正黑体_GBK" w:eastAsia="方正黑体_GBK" w:cs="方正黑体_GBK"/>
          <w:color w:val="auto"/>
          <w:kern w:val="0"/>
          <w:sz w:val="32"/>
          <w:szCs w:val="32"/>
          <w:shd w:val="clear" w:color="auto" w:fill="FFFFFF"/>
        </w:rPr>
      </w:pPr>
      <w:r>
        <w:rPr>
          <w:rFonts w:hint="eastAsia" w:ascii="方正黑体_GBK" w:hAnsi="方正黑体_GBK" w:eastAsia="方正黑体_GBK" w:cs="方正黑体_GBK"/>
          <w:color w:val="auto"/>
          <w:kern w:val="0"/>
          <w:sz w:val="32"/>
          <w:szCs w:val="32"/>
          <w:shd w:val="clear" w:color="auto" w:fill="FFFFFF"/>
        </w:rPr>
        <w:t>六、其他需要报告的事项</w:t>
      </w:r>
    </w:p>
    <w:p>
      <w:pPr>
        <w:keepNext w:val="0"/>
        <w:keepLines w:val="0"/>
        <w:pageBreakBefore w:val="0"/>
        <w:widowControl w:val="0"/>
        <w:tabs>
          <w:tab w:val="left" w:pos="670"/>
        </w:tabs>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宋体"/>
          <w:color w:val="auto"/>
          <w:kern w:val="0"/>
          <w:sz w:val="32"/>
          <w:szCs w:val="32"/>
          <w:shd w:val="clear" w:color="auto" w:fill="FFFFFF"/>
        </w:rPr>
      </w:pPr>
      <w:r>
        <w:rPr>
          <w:rFonts w:hint="eastAsia" w:ascii="仿宋_GB2312" w:hAnsi="仿宋_GB2312" w:eastAsia="仿宋_GB2312" w:cs="宋体"/>
          <w:color w:val="auto"/>
          <w:kern w:val="0"/>
          <w:sz w:val="32"/>
          <w:szCs w:val="32"/>
          <w:shd w:val="clear" w:color="auto" w:fill="FFFFFF"/>
        </w:rPr>
        <w:t>依据《政府信息公开信息处理费管理办法》，</w:t>
      </w:r>
      <w:r>
        <w:rPr>
          <w:rFonts w:hint="eastAsia" w:ascii="仿宋_GB2312" w:hAnsi="仿宋_GB2312" w:eastAsia="仿宋_GB2312" w:cs="宋体"/>
          <w:color w:val="auto"/>
          <w:kern w:val="0"/>
          <w:sz w:val="32"/>
          <w:szCs w:val="32"/>
          <w:shd w:val="clear" w:color="auto" w:fill="FFFFFF"/>
          <w:lang w:eastAsia="zh-CN"/>
        </w:rPr>
        <w:t>本机关</w:t>
      </w:r>
      <w:r>
        <w:rPr>
          <w:rFonts w:hint="eastAsia" w:ascii="仿宋_GB2312" w:hAnsi="仿宋_GB2312" w:eastAsia="仿宋_GB2312" w:cs="宋体"/>
          <w:color w:val="auto"/>
          <w:kern w:val="0"/>
          <w:sz w:val="32"/>
          <w:szCs w:val="32"/>
          <w:shd w:val="clear" w:color="auto" w:fill="FFFFFF"/>
        </w:rPr>
        <w:t>无收取信息处理费的情况。</w:t>
      </w:r>
    </w:p>
    <w:p>
      <w:pPr>
        <w:keepNext w:val="0"/>
        <w:keepLines w:val="0"/>
        <w:pageBreakBefore w:val="0"/>
        <w:widowControl w:val="0"/>
        <w:tabs>
          <w:tab w:val="left" w:pos="670"/>
        </w:tabs>
        <w:kinsoku/>
        <w:wordWrap/>
        <w:overflowPunct/>
        <w:topLinePunct w:val="0"/>
        <w:autoSpaceDE/>
        <w:autoSpaceDN/>
        <w:bidi w:val="0"/>
        <w:adjustRightInd/>
        <w:snapToGrid/>
        <w:spacing w:line="520" w:lineRule="exact"/>
        <w:ind w:firstLine="640" w:firstLineChars="200"/>
        <w:textAlignment w:val="auto"/>
        <w:outlineLvl w:val="9"/>
        <w:rPr>
          <w:rFonts w:ascii="仿宋_GB2312" w:hAnsi="仿宋_GB2312" w:eastAsia="仿宋_GB2312" w:cs="宋体"/>
          <w:color w:val="auto"/>
          <w:kern w:val="0"/>
          <w:sz w:val="32"/>
          <w:szCs w:val="32"/>
          <w:shd w:val="clear" w:color="auto" w:fill="FFFFFF"/>
        </w:rPr>
      </w:pPr>
      <w:r>
        <w:rPr>
          <w:rFonts w:hint="eastAsia" w:ascii="仿宋_GB2312" w:hAnsi="仿宋_GB2312" w:eastAsia="仿宋_GB2312" w:cs="宋体"/>
          <w:color w:val="auto"/>
          <w:kern w:val="0"/>
          <w:sz w:val="32"/>
          <w:szCs w:val="32"/>
          <w:shd w:val="clear" w:color="auto" w:fill="FFFFFF"/>
        </w:rPr>
        <w:t>本报告所列数据统计期限为2022年1月1日至2022年12月31日。</w:t>
      </w:r>
    </w:p>
    <w:p>
      <w:pPr>
        <w:keepNext w:val="0"/>
        <w:keepLines w:val="0"/>
        <w:pageBreakBefore w:val="0"/>
        <w:widowControl w:val="0"/>
        <w:tabs>
          <w:tab w:val="left" w:pos="670"/>
        </w:tabs>
        <w:kinsoku/>
        <w:wordWrap/>
        <w:overflowPunct/>
        <w:topLinePunct w:val="0"/>
        <w:autoSpaceDE/>
        <w:autoSpaceDN/>
        <w:bidi w:val="0"/>
        <w:adjustRightInd/>
        <w:snapToGrid/>
        <w:spacing w:line="520" w:lineRule="exact"/>
        <w:ind w:firstLine="640" w:firstLineChars="200"/>
        <w:textAlignment w:val="auto"/>
        <w:outlineLvl w:val="9"/>
        <w:rPr>
          <w:rFonts w:ascii="仿宋_GB2312" w:hAnsi="仿宋_GB2312" w:eastAsia="仿宋_GB2312" w:cs="宋体"/>
          <w:color w:val="auto"/>
          <w:kern w:val="0"/>
          <w:sz w:val="32"/>
          <w:szCs w:val="32"/>
          <w:shd w:val="clear" w:color="auto" w:fill="FFFFFF"/>
        </w:rPr>
      </w:pPr>
    </w:p>
    <w:p>
      <w:pPr>
        <w:keepNext w:val="0"/>
        <w:keepLines w:val="0"/>
        <w:pageBreakBefore w:val="0"/>
        <w:widowControl w:val="0"/>
        <w:tabs>
          <w:tab w:val="left" w:pos="670"/>
        </w:tabs>
        <w:kinsoku/>
        <w:wordWrap/>
        <w:overflowPunct/>
        <w:topLinePunct w:val="0"/>
        <w:autoSpaceDE/>
        <w:autoSpaceDN/>
        <w:bidi w:val="0"/>
        <w:adjustRightInd/>
        <w:snapToGrid/>
        <w:spacing w:line="520" w:lineRule="exact"/>
        <w:ind w:firstLine="640" w:firstLineChars="200"/>
        <w:textAlignment w:val="auto"/>
        <w:outlineLvl w:val="9"/>
        <w:rPr>
          <w:rFonts w:ascii="仿宋_GB2312" w:hAnsi="仿宋_GB2312" w:eastAsia="仿宋_GB2312" w:cs="宋体"/>
          <w:color w:val="auto"/>
          <w:kern w:val="0"/>
          <w:sz w:val="32"/>
          <w:szCs w:val="32"/>
          <w:shd w:val="clear" w:color="auto" w:fill="FFFFFF"/>
        </w:rPr>
      </w:pPr>
    </w:p>
    <w:p>
      <w:pPr>
        <w:keepNext w:val="0"/>
        <w:keepLines w:val="0"/>
        <w:pageBreakBefore w:val="0"/>
        <w:widowControl w:val="0"/>
        <w:tabs>
          <w:tab w:val="left" w:pos="670"/>
        </w:tabs>
        <w:kinsoku/>
        <w:wordWrap/>
        <w:overflowPunct/>
        <w:topLinePunct w:val="0"/>
        <w:autoSpaceDE/>
        <w:autoSpaceDN/>
        <w:bidi w:val="0"/>
        <w:adjustRightInd/>
        <w:snapToGrid/>
        <w:spacing w:line="520" w:lineRule="exact"/>
        <w:ind w:left="0" w:leftChars="0" w:firstLine="3360" w:firstLineChars="1050"/>
        <w:jc w:val="center"/>
        <w:textAlignment w:val="auto"/>
        <w:outlineLvl w:val="9"/>
        <w:rPr>
          <w:rFonts w:hint="eastAsia" w:ascii="仿宋_GB2312" w:hAnsi="仿宋_GB2312" w:eastAsia="仿宋_GB2312" w:cs="宋体"/>
          <w:color w:val="auto"/>
          <w:kern w:val="0"/>
          <w:sz w:val="32"/>
          <w:szCs w:val="32"/>
          <w:shd w:val="clear" w:color="auto" w:fill="FFFFFF"/>
          <w:lang w:eastAsia="zh-CN"/>
        </w:rPr>
      </w:pPr>
      <w:r>
        <w:rPr>
          <w:rFonts w:hint="eastAsia" w:ascii="仿宋_GB2312" w:hAnsi="仿宋_GB2312" w:eastAsia="仿宋_GB2312" w:cs="宋体"/>
          <w:color w:val="auto"/>
          <w:kern w:val="0"/>
          <w:sz w:val="32"/>
          <w:szCs w:val="32"/>
          <w:shd w:val="clear" w:color="auto" w:fill="FFFFFF"/>
          <w:lang w:eastAsia="zh-CN"/>
        </w:rPr>
        <w:t>和田地区信访局</w:t>
      </w:r>
    </w:p>
    <w:p>
      <w:pPr>
        <w:keepNext w:val="0"/>
        <w:keepLines w:val="0"/>
        <w:pageBreakBefore w:val="0"/>
        <w:widowControl w:val="0"/>
        <w:tabs>
          <w:tab w:val="left" w:pos="670"/>
        </w:tabs>
        <w:kinsoku/>
        <w:wordWrap/>
        <w:overflowPunct/>
        <w:topLinePunct w:val="0"/>
        <w:autoSpaceDE/>
        <w:autoSpaceDN/>
        <w:bidi w:val="0"/>
        <w:adjustRightInd/>
        <w:snapToGrid/>
        <w:spacing w:line="520" w:lineRule="exact"/>
        <w:ind w:left="0" w:leftChars="0" w:firstLine="3360" w:firstLineChars="1050"/>
        <w:jc w:val="center"/>
        <w:textAlignment w:val="auto"/>
        <w:outlineLvl w:val="9"/>
        <w:rPr>
          <w:rFonts w:hint="eastAsia" w:ascii="仿宋_GB2312" w:hAnsi="仿宋_GB2312" w:eastAsia="仿宋_GB2312" w:cs="宋体"/>
          <w:color w:val="auto"/>
          <w:kern w:val="0"/>
          <w:sz w:val="32"/>
          <w:szCs w:val="32"/>
          <w:shd w:val="clear" w:color="auto" w:fill="FFFFFF"/>
          <w:lang w:val="en-US" w:eastAsia="zh-CN"/>
        </w:rPr>
      </w:pPr>
      <w:r>
        <w:rPr>
          <w:rFonts w:hint="eastAsia" w:ascii="仿宋_GB2312" w:hAnsi="仿宋_GB2312" w:eastAsia="仿宋_GB2312" w:cs="宋体"/>
          <w:color w:val="auto"/>
          <w:kern w:val="0"/>
          <w:sz w:val="32"/>
          <w:szCs w:val="32"/>
          <w:shd w:val="clear" w:color="auto" w:fill="FFFFFF"/>
          <w:lang w:val="en-US" w:eastAsia="zh-CN"/>
        </w:rPr>
        <w:t>2023年1月28日</w:t>
      </w: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UKK TZK2">
    <w:altName w:val="MS Gothic"/>
    <w:panose1 w:val="00000000000000000000"/>
    <w:charset w:val="80"/>
    <w:family w:val="roma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S Gothic">
    <w:panose1 w:val="020B0609070205080204"/>
    <w:charset w:val="80"/>
    <w:family w:val="auto"/>
    <w:pitch w:val="default"/>
    <w:sig w:usb0="E00002FF" w:usb1="6AC7FDFB" w:usb2="00000012" w:usb3="00000000" w:csb0="4002009F" w:csb1="DFD7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1027" o:spid="_x0000_s102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0408E"/>
    <w:rsid w:val="00150FED"/>
    <w:rsid w:val="00205C1C"/>
    <w:rsid w:val="002370C4"/>
    <w:rsid w:val="00327D5E"/>
    <w:rsid w:val="00381080"/>
    <w:rsid w:val="003C2237"/>
    <w:rsid w:val="0050408E"/>
    <w:rsid w:val="005A580E"/>
    <w:rsid w:val="00622606"/>
    <w:rsid w:val="006270DA"/>
    <w:rsid w:val="007A6EB6"/>
    <w:rsid w:val="007D0697"/>
    <w:rsid w:val="007D637B"/>
    <w:rsid w:val="007F21BA"/>
    <w:rsid w:val="00820E01"/>
    <w:rsid w:val="0082572C"/>
    <w:rsid w:val="008D5D53"/>
    <w:rsid w:val="009E71B7"/>
    <w:rsid w:val="00BA35FD"/>
    <w:rsid w:val="00BB0E04"/>
    <w:rsid w:val="00CF5F99"/>
    <w:rsid w:val="00DF2A6B"/>
    <w:rsid w:val="00E66687"/>
    <w:rsid w:val="08165C5D"/>
    <w:rsid w:val="0EEC71CD"/>
    <w:rsid w:val="155C782E"/>
    <w:rsid w:val="18601D94"/>
    <w:rsid w:val="18FB4AB8"/>
    <w:rsid w:val="2CB95F40"/>
    <w:rsid w:val="32FC3626"/>
    <w:rsid w:val="347C003D"/>
    <w:rsid w:val="47247E93"/>
    <w:rsid w:val="4C6C3D84"/>
    <w:rsid w:val="546F24A2"/>
    <w:rsid w:val="5CDC633D"/>
    <w:rsid w:val="5D0C4E63"/>
    <w:rsid w:val="624D0DBD"/>
    <w:rsid w:val="64436582"/>
    <w:rsid w:val="644A5620"/>
    <w:rsid w:val="6A135BBC"/>
    <w:rsid w:val="6CE52DB4"/>
    <w:rsid w:val="729B6BA0"/>
    <w:rsid w:val="75EC157E"/>
    <w:rsid w:val="783744B9"/>
    <w:rsid w:val="79137399"/>
    <w:rsid w:val="7A8A7309"/>
    <w:rsid w:val="7D090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spacing w:line="574" w:lineRule="exact"/>
      <w:ind w:left="400" w:hanging="400" w:hangingChars="400"/>
    </w:pPr>
    <w:rPr>
      <w:rFonts w:ascii="UKK TZK2" w:hAnsi="UKK TZK2" w:eastAsia="仿宋_GB2312"/>
    </w:rPr>
  </w:style>
  <w:style w:type="paragraph" w:styleId="3">
    <w:name w:val="footer"/>
    <w:basedOn w:val="1"/>
    <w:qFormat/>
    <w:uiPriority w:val="0"/>
    <w:pPr>
      <w:tabs>
        <w:tab w:val="center" w:pos="4153"/>
        <w:tab w:val="right" w:pos="8306"/>
      </w:tabs>
      <w:snapToGrid w:val="0"/>
      <w:jc w:val="left"/>
    </w:pPr>
    <w:rPr>
      <w:sz w:val="18"/>
    </w:rPr>
  </w:style>
  <w:style w:type="paragraph" w:styleId="4">
    <w:name w:val="Body Text First Indent 2"/>
    <w:basedOn w:val="2"/>
    <w:unhideWhenUsed/>
    <w:qFormat/>
    <w:uiPriority w:val="0"/>
    <w:pPr>
      <w:ind w:firstLine="420" w:firstLineChars="200"/>
    </w:pPr>
    <w:rPr>
      <w:rFonts w:hint="eastAsia"/>
      <w:sz w:val="32"/>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hd w:val="clear" w:color="auto" w:fill="FFFFFF"/>
      <w:spacing w:line="560" w:lineRule="exact"/>
      <w:ind w:firstLine="640" w:firstLineChars="200"/>
    </w:pPr>
    <w:rPr>
      <w:rFonts w:ascii="仿宋_GB2312" w:hAnsi="仿宋_GB2312" w:eastAsia="仿宋_GB2312" w:cs="宋体"/>
      <w:color w:val="333333"/>
      <w:kern w:val="0"/>
      <w:sz w:val="32"/>
      <w:szCs w:val="32"/>
      <w:shd w:val="clear" w:color="auto" w:fill="FFFFFF"/>
    </w:rPr>
  </w:style>
  <w:style w:type="character" w:customStyle="1" w:styleId="9">
    <w:name w:val="页眉 Char"/>
    <w:basedOn w:val="7"/>
    <w:link w:val="5"/>
    <w:qFormat/>
    <w:uiPriority w:val="0"/>
    <w:rPr>
      <w:rFonts w:asciiTheme="minorHAnsi" w:hAnsiTheme="minorHAnsi" w:eastAsiaTheme="minorEastAsia" w:cstheme="minorBidi"/>
      <w:kern w:val="2"/>
      <w:sz w:val="18"/>
      <w:szCs w:val="18"/>
    </w:rPr>
  </w:style>
  <w:style w:type="table" w:customStyle="1" w:styleId="10">
    <w:name w:val="普通表格1"/>
    <w:semiHidden/>
    <w:qFormat/>
    <w:uiPriority w:val="0"/>
    <w:tblPr>
      <w:tblLayout w:type="fixed"/>
      <w:tblCellMar>
        <w:top w:w="0" w:type="dxa"/>
        <w:left w:w="108" w:type="dxa"/>
        <w:bottom w:w="0" w:type="dxa"/>
        <w:right w:w="108" w:type="dxa"/>
      </w:tblCellMar>
    </w:tblPr>
  </w:style>
  <w:style w:type="paragraph" w:customStyle="1" w:styleId="11">
    <w:name w:val="普通(网站)1"/>
    <w:basedOn w:val="1"/>
    <w:qFormat/>
    <w:uiPriority w:val="0"/>
    <w:pPr>
      <w:jc w:val="left"/>
    </w:pPr>
    <w:rPr>
      <w:rFonts w:ascii="Calibri" w:hAnsi="Calibri" w:eastAsia="宋体"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389</Words>
  <Characters>2219</Characters>
  <Lines>18</Lines>
  <Paragraphs>5</Paragraphs>
  <TotalTime>34</TotalTime>
  <ScaleCrop>false</ScaleCrop>
  <LinksUpToDate>false</LinksUpToDate>
  <CharactersWithSpaces>2603</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dzblh</cp:lastModifiedBy>
  <cp:lastPrinted>2023-03-17T09:05:00Z</cp:lastPrinted>
  <dcterms:modified xsi:type="dcterms:W3CDTF">2023-03-22T09:15:48Z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