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和田地区自然资源局2022年政府信息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公开工作年度报告</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firstLine="640" w:firstLineChars="200"/>
        <w:jc w:val="both"/>
        <w:textAlignment w:val="auto"/>
        <w:outlineLvl w:val="9"/>
        <w:rPr>
          <w:rFonts w:hint="eastAsia" w:ascii="仿宋_GB2312" w:hAnsi="仿宋_GB2312" w:eastAsia="仿宋_GB2312" w:cs="黑体"/>
          <w:i w:val="0"/>
          <w:caps w:val="0"/>
          <w:color w:val="auto"/>
          <w:spacing w:val="0"/>
          <w:kern w:val="0"/>
          <w:sz w:val="32"/>
          <w:szCs w:val="32"/>
          <w:highlight w:val="none"/>
          <w:u w:val="none"/>
          <w:lang w:val="en-US" w:eastAsia="zh-CN" w:bidi="ar"/>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_GB2312" w:hAnsi="仿宋_GB2312" w:eastAsia="仿宋_GB2312" w:cs="黑体"/>
          <w:i w:val="0"/>
          <w:caps w:val="0"/>
          <w:color w:val="auto"/>
          <w:spacing w:val="0"/>
          <w:kern w:val="0"/>
          <w:sz w:val="32"/>
          <w:szCs w:val="32"/>
          <w:highlight w:val="none"/>
          <w:u w:val="none"/>
          <w:lang w:val="en-US" w:eastAsia="zh-CN" w:bidi="ar"/>
        </w:rPr>
      </w:pPr>
      <w:r>
        <w:rPr>
          <w:rFonts w:hint="eastAsia" w:ascii="仿宋_GB2312" w:hAnsi="仿宋_GB2312" w:eastAsia="仿宋_GB2312" w:cs="黑体"/>
          <w:i w:val="0"/>
          <w:caps w:val="0"/>
          <w:color w:val="auto"/>
          <w:spacing w:val="0"/>
          <w:kern w:val="0"/>
          <w:sz w:val="32"/>
          <w:szCs w:val="32"/>
          <w:highlight w:val="none"/>
          <w:u w:val="none"/>
          <w:lang w:val="en-US" w:eastAsia="zh-CN" w:bidi="ar"/>
        </w:rPr>
        <w:t>根据《中华人民共和国政府信息公开条例》（以下简称《政府信息公开条例》和</w:t>
      </w:r>
      <w:r>
        <w:rPr>
          <w:rFonts w:ascii="仿宋_GB2312" w:hAnsi="宋体" w:eastAsia="仿宋_GB2312" w:cs="仿宋_GB2312"/>
          <w:i w:val="0"/>
          <w:iCs w:val="0"/>
          <w:caps w:val="0"/>
          <w:color w:val="auto"/>
          <w:spacing w:val="0"/>
          <w:sz w:val="32"/>
          <w:szCs w:val="32"/>
          <w:shd w:val="clear" w:fill="FFFFFF"/>
        </w:rPr>
        <w:t>《关于印发中华人民共和国政府信息公开工作年度报告格式的通知》</w:t>
      </w:r>
      <w:r>
        <w:rPr>
          <w:rFonts w:hint="eastAsia" w:ascii="仿宋_GB2312" w:hAnsi="宋体" w:eastAsia="仿宋_GB2312" w:cs="仿宋_GB2312"/>
          <w:i w:val="0"/>
          <w:iCs w:val="0"/>
          <w:caps w:val="0"/>
          <w:color w:val="auto"/>
          <w:spacing w:val="0"/>
          <w:sz w:val="32"/>
          <w:szCs w:val="32"/>
          <w:shd w:val="clear" w:fill="FFFFFF"/>
        </w:rPr>
        <w:t>(国办公开办函〔</w:t>
      </w:r>
      <w:r>
        <w:rPr>
          <w:rFonts w:hint="default" w:ascii="Times New Roman" w:hAnsi="Times New Roman" w:eastAsia="宋体" w:cs="Times New Roman"/>
          <w:i w:val="0"/>
          <w:iCs w:val="0"/>
          <w:caps w:val="0"/>
          <w:color w:val="auto"/>
          <w:spacing w:val="0"/>
          <w:sz w:val="32"/>
          <w:szCs w:val="32"/>
          <w:shd w:val="clear" w:fill="FFFFFF"/>
        </w:rPr>
        <w:t>2021</w:t>
      </w:r>
      <w:r>
        <w:rPr>
          <w:rFonts w:hint="eastAsia" w:ascii="仿宋_GB2312" w:hAnsi="宋体" w:eastAsia="仿宋_GB2312" w:cs="仿宋_GB2312"/>
          <w:i w:val="0"/>
          <w:iCs w:val="0"/>
          <w:caps w:val="0"/>
          <w:color w:val="auto"/>
          <w:spacing w:val="0"/>
          <w:sz w:val="32"/>
          <w:szCs w:val="32"/>
          <w:shd w:val="clear" w:fill="FFFFFF"/>
        </w:rPr>
        <w:t>〕</w:t>
      </w:r>
      <w:r>
        <w:rPr>
          <w:rFonts w:hint="default" w:ascii="Times New Roman" w:hAnsi="Times New Roman" w:eastAsia="宋体" w:cs="Times New Roman"/>
          <w:i w:val="0"/>
          <w:iCs w:val="0"/>
          <w:caps w:val="0"/>
          <w:color w:val="auto"/>
          <w:spacing w:val="0"/>
          <w:sz w:val="32"/>
          <w:szCs w:val="32"/>
          <w:shd w:val="clear" w:fill="FFFFFF"/>
        </w:rPr>
        <w:t>30</w:t>
      </w:r>
      <w:r>
        <w:rPr>
          <w:rFonts w:hint="eastAsia" w:ascii="仿宋_GB2312" w:hAnsi="宋体" w:eastAsia="仿宋_GB2312" w:cs="仿宋_GB2312"/>
          <w:i w:val="0"/>
          <w:iCs w:val="0"/>
          <w:caps w:val="0"/>
          <w:color w:val="auto"/>
          <w:spacing w:val="0"/>
          <w:sz w:val="32"/>
          <w:szCs w:val="32"/>
          <w:shd w:val="clear" w:fill="FFFFFF"/>
        </w:rPr>
        <w:t>号)要求，</w:t>
      </w:r>
      <w:r>
        <w:rPr>
          <w:rFonts w:hint="eastAsia" w:ascii="仿宋_GB2312" w:hAnsi="仿宋_GB2312" w:eastAsia="仿宋_GB2312" w:cs="黑体"/>
          <w:i w:val="0"/>
          <w:caps w:val="0"/>
          <w:color w:val="auto"/>
          <w:spacing w:val="0"/>
          <w:kern w:val="0"/>
          <w:sz w:val="32"/>
          <w:szCs w:val="32"/>
          <w:highlight w:val="none"/>
          <w:u w:val="none"/>
          <w:lang w:val="en-US" w:eastAsia="zh-CN" w:bidi="ar"/>
        </w:rPr>
        <w:t>编制撰写本报告。</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outlineLvl w:val="9"/>
        <w:rPr>
          <w:color w:val="auto"/>
          <w:highlight w:val="none"/>
        </w:rPr>
      </w:pPr>
      <w:r>
        <w:rPr>
          <w:rFonts w:ascii="黑体" w:hAnsi="宋体" w:eastAsia="黑体" w:cs="黑体"/>
          <w:i w:val="0"/>
          <w:caps w:val="0"/>
          <w:color w:val="auto"/>
          <w:spacing w:val="0"/>
          <w:kern w:val="0"/>
          <w:sz w:val="32"/>
          <w:szCs w:val="32"/>
          <w:highlight w:val="none"/>
          <w:u w:val="none"/>
          <w:lang w:val="en-US" w:eastAsia="zh-CN" w:bidi="ar"/>
        </w:rPr>
        <w:t>一、</w:t>
      </w:r>
      <w:r>
        <w:rPr>
          <w:rFonts w:hint="default" w:ascii="黑体" w:hAnsi="宋体" w:eastAsia="黑体" w:cs="黑体"/>
          <w:i w:val="0"/>
          <w:caps w:val="0"/>
          <w:color w:val="auto"/>
          <w:spacing w:val="0"/>
          <w:kern w:val="0"/>
          <w:sz w:val="32"/>
          <w:szCs w:val="32"/>
          <w:highlight w:val="none"/>
          <w:u w:val="none"/>
          <w:lang w:val="en-US" w:eastAsia="zh-CN" w:bidi="ar"/>
        </w:rPr>
        <w:t>总体情况</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_GB2312" w:hAnsi="仿宋_GB2312" w:eastAsia="仿宋_GB2312" w:cs="黑体"/>
          <w:i w:val="0"/>
          <w:caps w:val="0"/>
          <w:color w:val="auto"/>
          <w:spacing w:val="0"/>
          <w:kern w:val="0"/>
          <w:sz w:val="32"/>
          <w:szCs w:val="32"/>
          <w:highlight w:val="none"/>
          <w:u w:val="none"/>
          <w:lang w:val="en-US" w:eastAsia="zh-CN" w:bidi="ar"/>
        </w:rPr>
      </w:pPr>
      <w:r>
        <w:rPr>
          <w:rFonts w:hint="eastAsia" w:ascii="仿宋_GB2312" w:hAnsi="仿宋_GB2312" w:eastAsia="仿宋_GB2312" w:cs="黑体"/>
          <w:i w:val="0"/>
          <w:caps w:val="0"/>
          <w:color w:val="auto"/>
          <w:spacing w:val="0"/>
          <w:kern w:val="0"/>
          <w:sz w:val="32"/>
          <w:szCs w:val="32"/>
          <w:highlight w:val="none"/>
          <w:u w:val="none"/>
          <w:lang w:val="en-US" w:eastAsia="zh-CN" w:bidi="ar"/>
        </w:rPr>
        <w:t>2022年，和田地区自然资源局党组坚持以习近平新时代中国特色社会主义思想为指导，以习近平总书记视察新疆重要讲话重要指示精神为遵循，全面贯彻落实党的二十大精神，完整准确贯彻新时代党的治疆方略，紧紧围绕和田地区自然资源工作重点，严格落实政府信息公开制度，加大政府信息公开力度，全面推进政府信息公开工作。</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643" w:firstLineChars="200"/>
        <w:jc w:val="both"/>
        <w:textAlignment w:val="auto"/>
        <w:outlineLvl w:val="9"/>
        <w:rPr>
          <w:rFonts w:hint="default" w:ascii="仿宋_GB2312" w:hAnsi="仿宋_GB2312" w:eastAsia="仿宋_GB2312" w:cs="黑体"/>
          <w:i w:val="0"/>
          <w:caps w:val="0"/>
          <w:color w:val="auto"/>
          <w:spacing w:val="0"/>
          <w:kern w:val="0"/>
          <w:sz w:val="32"/>
          <w:szCs w:val="32"/>
          <w:highlight w:val="none"/>
          <w:u w:val="none"/>
          <w:lang w:val="en-US" w:eastAsia="zh-CN" w:bidi="ar"/>
        </w:rPr>
      </w:pPr>
      <w:r>
        <w:rPr>
          <w:rFonts w:hint="eastAsia" w:ascii="楷体_GB2312" w:hAnsi="楷体_GB2312" w:eastAsia="楷体_GB2312" w:cs="楷体_GB2312"/>
          <w:b/>
          <w:bCs/>
          <w:i w:val="0"/>
          <w:caps w:val="0"/>
          <w:color w:val="auto"/>
          <w:spacing w:val="0"/>
          <w:sz w:val="32"/>
          <w:szCs w:val="32"/>
          <w:highlight w:val="none"/>
          <w:u w:val="none"/>
          <w:shd w:val="clear" w:fill="FFFFFF"/>
          <w:lang w:eastAsia="zh-CN"/>
        </w:rPr>
        <w:t>（</w:t>
      </w:r>
      <w:r>
        <w:rPr>
          <w:rFonts w:hint="eastAsia" w:ascii="楷体_GB2312" w:hAnsi="楷体_GB2312" w:eastAsia="楷体_GB2312" w:cs="楷体_GB2312"/>
          <w:b/>
          <w:bCs/>
          <w:i w:val="0"/>
          <w:caps w:val="0"/>
          <w:color w:val="auto"/>
          <w:spacing w:val="0"/>
          <w:sz w:val="32"/>
          <w:szCs w:val="32"/>
          <w:highlight w:val="none"/>
          <w:u w:val="none"/>
          <w:shd w:val="clear" w:fill="FFFFFF"/>
          <w:lang w:val="en-US" w:eastAsia="zh-CN"/>
        </w:rPr>
        <w:t>一</w:t>
      </w:r>
      <w:r>
        <w:rPr>
          <w:rFonts w:hint="eastAsia" w:ascii="楷体_GB2312" w:hAnsi="楷体_GB2312" w:eastAsia="楷体_GB2312" w:cs="楷体_GB2312"/>
          <w:b/>
          <w:bCs/>
          <w:i w:val="0"/>
          <w:caps w:val="0"/>
          <w:color w:val="auto"/>
          <w:spacing w:val="0"/>
          <w:sz w:val="32"/>
          <w:szCs w:val="32"/>
          <w:highlight w:val="none"/>
          <w:u w:val="none"/>
          <w:shd w:val="clear" w:fill="FFFFFF"/>
          <w:lang w:eastAsia="zh-CN"/>
        </w:rPr>
        <w:t>）</w:t>
      </w:r>
      <w:r>
        <w:rPr>
          <w:rFonts w:hint="eastAsia" w:ascii="楷体_GB2312" w:hAnsi="楷体_GB2312" w:eastAsia="楷体_GB2312" w:cs="楷体_GB2312"/>
          <w:b/>
          <w:bCs/>
          <w:i w:val="0"/>
          <w:caps w:val="0"/>
          <w:color w:val="auto"/>
          <w:spacing w:val="0"/>
          <w:sz w:val="32"/>
          <w:szCs w:val="32"/>
          <w:highlight w:val="none"/>
          <w:u w:val="none"/>
          <w:shd w:val="clear" w:fill="FFFFFF"/>
        </w:rPr>
        <w:t>积极主动公开政府信息</w:t>
      </w:r>
      <w:r>
        <w:rPr>
          <w:rFonts w:ascii="楷体" w:hAnsi="楷体" w:eastAsia="楷体" w:cs="楷体"/>
          <w:b/>
          <w:bCs/>
          <w:i w:val="0"/>
          <w:caps w:val="0"/>
          <w:color w:val="auto"/>
          <w:spacing w:val="0"/>
          <w:sz w:val="32"/>
          <w:szCs w:val="32"/>
          <w:highlight w:val="none"/>
          <w:u w:val="none"/>
          <w:shd w:val="clear" w:fill="FFFFFF"/>
        </w:rPr>
        <w:t>。</w:t>
      </w:r>
      <w:r>
        <w:rPr>
          <w:rFonts w:hint="default" w:ascii="仿宋_GB2312" w:hAnsi="仿宋_GB2312" w:eastAsia="仿宋_GB2312" w:cs="黑体"/>
          <w:i w:val="0"/>
          <w:caps w:val="0"/>
          <w:color w:val="auto"/>
          <w:spacing w:val="0"/>
          <w:kern w:val="0"/>
          <w:sz w:val="32"/>
          <w:szCs w:val="32"/>
          <w:highlight w:val="none"/>
          <w:u w:val="none"/>
          <w:lang w:val="en-US" w:eastAsia="zh-CN" w:bidi="ar"/>
        </w:rPr>
        <w:t>2022年，</w:t>
      </w:r>
      <w:r>
        <w:rPr>
          <w:rFonts w:hint="eastAsia" w:ascii="仿宋_GB2312" w:hAnsi="仿宋_GB2312" w:eastAsia="仿宋_GB2312" w:cs="黑体"/>
          <w:i w:val="0"/>
          <w:caps w:val="0"/>
          <w:color w:val="auto"/>
          <w:spacing w:val="0"/>
          <w:kern w:val="0"/>
          <w:sz w:val="32"/>
          <w:szCs w:val="32"/>
          <w:highlight w:val="none"/>
          <w:u w:val="none"/>
          <w:lang w:val="en-US" w:eastAsia="zh-CN" w:bidi="ar"/>
        </w:rPr>
        <w:t>通过和田地区行政公署网站主动公开了土地资源、矿产资源、水资源等情况。利用和田地区自然资源局微信公众号公开行业规划及意见征求类信息3条、法治建设类信息3条、民生及服务群众类信息2条、业务办理流程和政策宣传类信息4条、矿业权管理信息3条。</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643" w:firstLineChars="200"/>
        <w:jc w:val="both"/>
        <w:textAlignment w:val="auto"/>
        <w:outlineLvl w:val="9"/>
        <w:rPr>
          <w:rFonts w:hint="eastAsia" w:ascii="仿宋_GB2312" w:hAnsi="仿宋_GB2312" w:eastAsia="仿宋_GB2312" w:cs="黑体"/>
          <w:i w:val="0"/>
          <w:caps w:val="0"/>
          <w:color w:val="auto"/>
          <w:spacing w:val="0"/>
          <w:kern w:val="0"/>
          <w:sz w:val="32"/>
          <w:szCs w:val="32"/>
          <w:highlight w:val="none"/>
          <w:u w:val="none"/>
          <w:lang w:val="en-US" w:eastAsia="zh-CN" w:bidi="ar"/>
        </w:rPr>
      </w:pPr>
      <w:r>
        <w:rPr>
          <w:rFonts w:hint="default" w:ascii="楷体_GB2312" w:hAnsi="楷体_GB2312" w:eastAsia="楷体_GB2312" w:cs="楷体_GB2312"/>
          <w:b/>
          <w:bCs/>
          <w:i w:val="0"/>
          <w:caps w:val="0"/>
          <w:color w:val="auto"/>
          <w:spacing w:val="0"/>
          <w:sz w:val="32"/>
          <w:szCs w:val="32"/>
          <w:highlight w:val="none"/>
          <w:u w:val="none"/>
          <w:shd w:val="clear" w:fill="FFFFFF"/>
          <w:lang w:val="en-US" w:eastAsia="zh-CN"/>
        </w:rPr>
        <w:t>（二）</w:t>
      </w:r>
      <w:r>
        <w:rPr>
          <w:rFonts w:hint="default" w:ascii="楷体_GB2312" w:hAnsi="楷体_GB2312" w:eastAsia="楷体_GB2312" w:cs="楷体_GB2312"/>
          <w:b/>
          <w:bCs/>
          <w:i w:val="0"/>
          <w:caps w:val="0"/>
          <w:color w:val="auto"/>
          <w:spacing w:val="0"/>
          <w:sz w:val="32"/>
          <w:szCs w:val="32"/>
          <w:highlight w:val="none"/>
          <w:u w:val="none"/>
          <w:shd w:val="clear" w:fill="FFFFFF"/>
        </w:rPr>
        <w:t>规范办理依申请公开事项。</w:t>
      </w:r>
      <w:r>
        <w:rPr>
          <w:rFonts w:ascii="仿宋_GB2312" w:hAnsi="Times New Roman" w:eastAsia="仿宋_GB2312" w:cs="仿宋_GB2312"/>
          <w:i w:val="0"/>
          <w:iCs w:val="0"/>
          <w:caps w:val="0"/>
          <w:color w:val="auto"/>
          <w:spacing w:val="0"/>
          <w:sz w:val="32"/>
          <w:szCs w:val="32"/>
          <w:shd w:val="clear" w:fill="FFFFFF"/>
        </w:rPr>
        <w:t>严格落实《政府信息公开条例》关于依申请公开工作的有关规定，认真及时做好沟通、协调、研判和规范答复工作。</w:t>
      </w:r>
      <w:r>
        <w:rPr>
          <w:rFonts w:hint="eastAsia" w:ascii="仿宋_GB2312" w:hAnsi="Times New Roman" w:eastAsia="仿宋_GB2312" w:cs="仿宋_GB2312"/>
          <w:i w:val="0"/>
          <w:iCs w:val="0"/>
          <w:caps w:val="0"/>
          <w:color w:val="auto"/>
          <w:spacing w:val="0"/>
          <w:sz w:val="32"/>
          <w:szCs w:val="32"/>
          <w:shd w:val="clear" w:fill="FFFFFF"/>
          <w:lang w:val="en-US" w:eastAsia="zh-CN"/>
        </w:rPr>
        <w:t>2022年和田地区自然资源未收到政府信息公开申请</w:t>
      </w:r>
      <w:r>
        <w:rPr>
          <w:rFonts w:hint="default" w:ascii="仿宋_GB2312" w:hAnsi="仿宋_GB2312" w:eastAsia="仿宋_GB2312" w:cs="黑体"/>
          <w:i w:val="0"/>
          <w:caps w:val="0"/>
          <w:color w:val="auto"/>
          <w:spacing w:val="0"/>
          <w:kern w:val="0"/>
          <w:sz w:val="32"/>
          <w:szCs w:val="32"/>
          <w:highlight w:val="none"/>
          <w:u w:val="none"/>
          <w:lang w:val="en-US" w:eastAsia="zh-CN" w:bidi="ar"/>
        </w:rPr>
        <w:t>。</w:t>
      </w:r>
    </w:p>
    <w:p>
      <w:pPr>
        <w:pStyle w:val="2"/>
        <w:keepNext w:val="0"/>
        <w:keepLines w:val="0"/>
        <w:pageBreakBefore w:val="0"/>
        <w:kinsoku/>
        <w:wordWrap/>
        <w:overflowPunct/>
        <w:topLinePunct w:val="0"/>
        <w:autoSpaceDE/>
        <w:autoSpaceDN/>
        <w:bidi w:val="0"/>
        <w:adjustRightInd/>
        <w:snapToGrid/>
        <w:spacing w:after="0" w:afterLines="0" w:line="540" w:lineRule="exact"/>
        <w:ind w:left="0" w:leftChars="0" w:firstLine="643" w:firstLineChars="200"/>
        <w:textAlignment w:val="auto"/>
        <w:outlineLvl w:val="9"/>
        <w:rPr>
          <w:rFonts w:hint="default"/>
          <w:color w:val="auto"/>
          <w:lang w:val="en-US" w:eastAsia="zh-CN"/>
        </w:rPr>
      </w:pPr>
      <w:r>
        <w:rPr>
          <w:rFonts w:hint="default" w:ascii="楷体_GB2312" w:hAnsi="楷体_GB2312" w:eastAsia="楷体_GB2312" w:cs="楷体_GB2312"/>
          <w:b/>
          <w:bCs/>
          <w:i w:val="0"/>
          <w:caps w:val="0"/>
          <w:color w:val="auto"/>
          <w:spacing w:val="0"/>
          <w:sz w:val="32"/>
          <w:szCs w:val="32"/>
          <w:highlight w:val="none"/>
          <w:u w:val="none"/>
          <w:shd w:val="clear" w:fill="FFFFFF"/>
          <w:lang w:val="en-US" w:eastAsia="zh-CN"/>
        </w:rPr>
        <w:t>（三）</w:t>
      </w:r>
      <w:r>
        <w:rPr>
          <w:rFonts w:hint="default" w:ascii="楷体_GB2312" w:hAnsi="楷体_GB2312" w:eastAsia="楷体_GB2312" w:cs="楷体_GB2312"/>
          <w:b/>
          <w:bCs/>
          <w:i w:val="0"/>
          <w:caps w:val="0"/>
          <w:color w:val="auto"/>
          <w:spacing w:val="0"/>
          <w:sz w:val="32"/>
          <w:szCs w:val="32"/>
          <w:highlight w:val="none"/>
          <w:u w:val="none"/>
          <w:shd w:val="clear" w:fill="FFFFFF"/>
        </w:rPr>
        <w:t>加强政府信息管理。</w:t>
      </w:r>
      <w:r>
        <w:rPr>
          <w:rFonts w:hint="default" w:ascii="仿宋_GB2312" w:hAnsi="仿宋_GB2312" w:eastAsia="仿宋_GB2312" w:cs="黑体"/>
          <w:i w:val="0"/>
          <w:caps w:val="0"/>
          <w:color w:val="auto"/>
          <w:spacing w:val="0"/>
          <w:kern w:val="0"/>
          <w:sz w:val="32"/>
          <w:szCs w:val="32"/>
          <w:highlight w:val="none"/>
          <w:u w:val="none"/>
          <w:lang w:val="en-US" w:eastAsia="zh-CN" w:bidi="ar"/>
        </w:rPr>
        <w:t>严格</w:t>
      </w:r>
      <w:r>
        <w:rPr>
          <w:rFonts w:hint="eastAsia" w:ascii="仿宋_GB2312" w:hAnsi="仿宋_GB2312" w:eastAsia="仿宋_GB2312" w:cs="黑体"/>
          <w:i w:val="0"/>
          <w:caps w:val="0"/>
          <w:color w:val="auto"/>
          <w:spacing w:val="0"/>
          <w:kern w:val="0"/>
          <w:sz w:val="32"/>
          <w:szCs w:val="32"/>
          <w:highlight w:val="none"/>
          <w:u w:val="none"/>
          <w:lang w:val="en-US" w:eastAsia="zh-CN" w:bidi="ar"/>
        </w:rPr>
        <w:t>落实政府信息公开</w:t>
      </w:r>
      <w:bookmarkStart w:id="0" w:name="_GoBack"/>
      <w:bookmarkEnd w:id="0"/>
      <w:r>
        <w:rPr>
          <w:rFonts w:hint="default" w:ascii="仿宋_GB2312" w:hAnsi="仿宋_GB2312" w:eastAsia="仿宋_GB2312" w:cs="黑体"/>
          <w:i w:val="0"/>
          <w:caps w:val="0"/>
          <w:color w:val="auto"/>
          <w:spacing w:val="0"/>
          <w:kern w:val="0"/>
          <w:sz w:val="32"/>
          <w:szCs w:val="32"/>
          <w:highlight w:val="none"/>
          <w:u w:val="none"/>
          <w:lang w:val="en-US" w:eastAsia="zh-CN" w:bidi="ar"/>
        </w:rPr>
        <w:t>审批流程，做到审批与维护分类细化、相互对应。梳理</w:t>
      </w:r>
      <w:r>
        <w:rPr>
          <w:rFonts w:hint="eastAsia" w:ascii="仿宋_GB2312" w:hAnsi="仿宋_GB2312" w:eastAsia="仿宋_GB2312" w:cs="黑体"/>
          <w:i w:val="0"/>
          <w:caps w:val="0"/>
          <w:color w:val="auto"/>
          <w:spacing w:val="0"/>
          <w:kern w:val="0"/>
          <w:sz w:val="32"/>
          <w:szCs w:val="32"/>
          <w:highlight w:val="none"/>
          <w:u w:val="none"/>
          <w:lang w:val="en-US" w:eastAsia="zh-CN" w:bidi="ar"/>
        </w:rPr>
        <w:t>自然资源</w:t>
      </w:r>
      <w:r>
        <w:rPr>
          <w:rFonts w:hint="default" w:ascii="仿宋_GB2312" w:hAnsi="仿宋_GB2312" w:eastAsia="仿宋_GB2312" w:cs="黑体"/>
          <w:i w:val="0"/>
          <w:caps w:val="0"/>
          <w:color w:val="auto"/>
          <w:spacing w:val="0"/>
          <w:kern w:val="0"/>
          <w:sz w:val="32"/>
          <w:szCs w:val="32"/>
          <w:highlight w:val="none"/>
          <w:u w:val="none"/>
          <w:lang w:val="en-US" w:eastAsia="zh-CN" w:bidi="ar"/>
        </w:rPr>
        <w:t>最新政策法规并在</w:t>
      </w:r>
      <w:r>
        <w:rPr>
          <w:rFonts w:hint="eastAsia" w:ascii="仿宋_GB2312" w:hAnsi="仿宋_GB2312" w:eastAsia="仿宋_GB2312" w:cs="黑体"/>
          <w:i w:val="0"/>
          <w:caps w:val="0"/>
          <w:color w:val="auto"/>
          <w:spacing w:val="0"/>
          <w:kern w:val="0"/>
          <w:sz w:val="32"/>
          <w:szCs w:val="32"/>
          <w:highlight w:val="none"/>
          <w:u w:val="none"/>
          <w:lang w:val="en-US" w:eastAsia="zh-CN" w:bidi="ar"/>
        </w:rPr>
        <w:t>和田地区行政公署官网、和田地区自然资源局微信公众号上</w:t>
      </w:r>
      <w:r>
        <w:rPr>
          <w:rFonts w:hint="default" w:ascii="仿宋_GB2312" w:hAnsi="仿宋_GB2312" w:eastAsia="仿宋_GB2312" w:cs="黑体"/>
          <w:i w:val="0"/>
          <w:caps w:val="0"/>
          <w:color w:val="auto"/>
          <w:spacing w:val="0"/>
          <w:kern w:val="0"/>
          <w:sz w:val="32"/>
          <w:szCs w:val="32"/>
          <w:highlight w:val="none"/>
          <w:u w:val="none"/>
          <w:lang w:val="en-US" w:eastAsia="zh-CN" w:bidi="ar"/>
        </w:rPr>
        <w:t>公布，</w:t>
      </w:r>
      <w:r>
        <w:rPr>
          <w:rFonts w:hint="eastAsia" w:ascii="仿宋_GB2312" w:hAnsi="仿宋_GB2312" w:eastAsia="仿宋_GB2312" w:cs="黑体"/>
          <w:i w:val="0"/>
          <w:caps w:val="0"/>
          <w:color w:val="auto"/>
          <w:spacing w:val="0"/>
          <w:kern w:val="0"/>
          <w:sz w:val="32"/>
          <w:szCs w:val="32"/>
          <w:highlight w:val="none"/>
          <w:u w:val="none"/>
          <w:lang w:val="en-US" w:eastAsia="zh-CN" w:bidi="ar"/>
        </w:rPr>
        <w:t>积极主动公开</w:t>
      </w:r>
      <w:r>
        <w:rPr>
          <w:rFonts w:hint="eastAsia" w:ascii="仿宋_GB2312" w:hAnsi="宋体" w:eastAsia="仿宋_GB2312" w:cs="仿宋_GB2312"/>
          <w:i w:val="0"/>
          <w:iCs w:val="0"/>
          <w:caps w:val="0"/>
          <w:color w:val="auto"/>
          <w:spacing w:val="0"/>
          <w:sz w:val="32"/>
          <w:szCs w:val="32"/>
          <w:shd w:val="clear" w:fill="FFFFFF"/>
        </w:rPr>
        <w:t>新增规划信息、</w:t>
      </w:r>
      <w:r>
        <w:rPr>
          <w:rFonts w:hint="eastAsia" w:ascii="仿宋_GB2312" w:hAnsi="宋体" w:eastAsia="仿宋_GB2312" w:cs="仿宋_GB2312"/>
          <w:i w:val="0"/>
          <w:iCs w:val="0"/>
          <w:caps w:val="0"/>
          <w:color w:val="auto"/>
          <w:spacing w:val="0"/>
          <w:sz w:val="32"/>
          <w:szCs w:val="32"/>
          <w:shd w:val="clear" w:fill="FFFFFF"/>
          <w:lang w:val="en-US" w:eastAsia="zh-CN"/>
        </w:rPr>
        <w:t>项目信息</w:t>
      </w:r>
      <w:r>
        <w:rPr>
          <w:rFonts w:hint="eastAsia" w:ascii="仿宋_GB2312" w:hAnsi="Times New Roman" w:eastAsia="仿宋_GB2312" w:cs="仿宋_GB2312"/>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val="en-US" w:eastAsia="zh-CN"/>
        </w:rPr>
        <w:t>行业规范和政策法规</w:t>
      </w:r>
      <w:r>
        <w:rPr>
          <w:rFonts w:hint="eastAsia" w:ascii="仿宋_GB2312" w:hAnsi="Times New Roman" w:eastAsia="仿宋_GB2312" w:cs="仿宋_GB2312"/>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val="en-US" w:eastAsia="zh-CN"/>
        </w:rPr>
        <w:t>争取</w:t>
      </w:r>
      <w:r>
        <w:rPr>
          <w:rFonts w:hint="eastAsia" w:ascii="仿宋_GB2312" w:hAnsi="宋体" w:eastAsia="仿宋_GB2312" w:cs="仿宋_GB2312"/>
          <w:i w:val="0"/>
          <w:iCs w:val="0"/>
          <w:caps w:val="0"/>
          <w:color w:val="auto"/>
          <w:spacing w:val="0"/>
          <w:sz w:val="32"/>
          <w:szCs w:val="32"/>
          <w:shd w:val="clear" w:fill="FFFFFF"/>
        </w:rPr>
        <w:t>公开内容更加高效实用</w:t>
      </w:r>
      <w:r>
        <w:rPr>
          <w:rFonts w:hint="eastAsia" w:ascii="仿宋_GB2312" w:hAnsi="Times New Roman" w:eastAsia="仿宋_GB2312" w:cs="仿宋_GB2312"/>
          <w:i w:val="0"/>
          <w:iCs w:val="0"/>
          <w:caps w:val="0"/>
          <w:color w:val="auto"/>
          <w:spacing w:val="0"/>
          <w:sz w:val="32"/>
          <w:szCs w:val="32"/>
          <w:shd w:val="clear" w:fill="FFFFFF"/>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3" w:firstLineChars="200"/>
        <w:jc w:val="both"/>
        <w:textAlignment w:val="auto"/>
        <w:outlineLvl w:val="9"/>
        <w:rPr>
          <w:rFonts w:hint="default" w:ascii="仿宋_GB2312" w:hAnsi="仿宋_GB2312" w:eastAsia="仿宋_GB2312" w:cs="黑体"/>
          <w:i w:val="0"/>
          <w:caps w:val="0"/>
          <w:color w:val="auto"/>
          <w:spacing w:val="0"/>
          <w:kern w:val="0"/>
          <w:sz w:val="32"/>
          <w:szCs w:val="32"/>
          <w:highlight w:val="none"/>
          <w:u w:val="none"/>
          <w:lang w:val="en-US" w:eastAsia="zh-CN" w:bidi="ar"/>
        </w:rPr>
      </w:pPr>
      <w:r>
        <w:rPr>
          <w:rFonts w:hint="default" w:ascii="楷体_GB2312" w:hAnsi="楷体_GB2312" w:eastAsia="楷体_GB2312" w:cs="楷体_GB2312"/>
          <w:b/>
          <w:bCs/>
          <w:i w:val="0"/>
          <w:caps w:val="0"/>
          <w:color w:val="auto"/>
          <w:spacing w:val="0"/>
          <w:sz w:val="32"/>
          <w:szCs w:val="32"/>
          <w:highlight w:val="none"/>
          <w:u w:val="none"/>
          <w:shd w:val="clear" w:fill="FFFFFF"/>
          <w:lang w:val="en-US" w:eastAsia="zh-CN"/>
        </w:rPr>
        <w:t>（四）</w:t>
      </w:r>
      <w:r>
        <w:rPr>
          <w:rFonts w:hint="default" w:ascii="楷体_GB2312" w:hAnsi="楷体_GB2312" w:eastAsia="楷体_GB2312" w:cs="楷体_GB2312"/>
          <w:b/>
          <w:bCs/>
          <w:i w:val="0"/>
          <w:caps w:val="0"/>
          <w:color w:val="auto"/>
          <w:spacing w:val="0"/>
          <w:sz w:val="32"/>
          <w:szCs w:val="32"/>
          <w:highlight w:val="none"/>
          <w:u w:val="none"/>
          <w:shd w:val="clear" w:fill="FFFFFF"/>
        </w:rPr>
        <w:t>完善政府信息公开平台建设。</w:t>
      </w:r>
      <w:r>
        <w:rPr>
          <w:rFonts w:hint="default" w:ascii="仿宋_GB2312" w:hAnsi="仿宋_GB2312" w:eastAsia="仿宋_GB2312" w:cs="黑体"/>
          <w:i w:val="0"/>
          <w:caps w:val="0"/>
          <w:color w:val="auto"/>
          <w:spacing w:val="0"/>
          <w:kern w:val="0"/>
          <w:sz w:val="32"/>
          <w:szCs w:val="32"/>
          <w:highlight w:val="none"/>
          <w:u w:val="none"/>
          <w:lang w:val="en-US" w:eastAsia="zh-CN" w:bidi="ar"/>
        </w:rPr>
        <w:t>严格落实网络意识形态责任制，确保</w:t>
      </w:r>
      <w:r>
        <w:rPr>
          <w:rFonts w:hint="eastAsia" w:ascii="仿宋_GB2312" w:hAnsi="仿宋_GB2312" w:eastAsia="仿宋_GB2312" w:cs="黑体"/>
          <w:i w:val="0"/>
          <w:caps w:val="0"/>
          <w:color w:val="auto"/>
          <w:spacing w:val="0"/>
          <w:kern w:val="0"/>
          <w:sz w:val="32"/>
          <w:szCs w:val="32"/>
          <w:highlight w:val="none"/>
          <w:u w:val="none"/>
          <w:lang w:val="en-US" w:eastAsia="zh-CN" w:bidi="ar"/>
        </w:rPr>
        <w:t>单位微信公众号</w:t>
      </w:r>
      <w:r>
        <w:rPr>
          <w:rFonts w:hint="default" w:ascii="仿宋_GB2312" w:hAnsi="仿宋_GB2312" w:eastAsia="仿宋_GB2312" w:cs="黑体"/>
          <w:i w:val="0"/>
          <w:caps w:val="0"/>
          <w:color w:val="auto"/>
          <w:spacing w:val="0"/>
          <w:kern w:val="0"/>
          <w:sz w:val="32"/>
          <w:szCs w:val="32"/>
          <w:highlight w:val="none"/>
          <w:u w:val="none"/>
          <w:lang w:val="en-US" w:eastAsia="zh-CN" w:bidi="ar"/>
        </w:rPr>
        <w:t>平稳运行</w:t>
      </w:r>
      <w:r>
        <w:rPr>
          <w:rFonts w:hint="eastAsia" w:ascii="仿宋_GB2312" w:hAnsi="仿宋_GB2312" w:eastAsia="仿宋_GB2312" w:cs="黑体"/>
          <w:i w:val="0"/>
          <w:caps w:val="0"/>
          <w:color w:val="auto"/>
          <w:spacing w:val="0"/>
          <w:kern w:val="0"/>
          <w:sz w:val="32"/>
          <w:szCs w:val="32"/>
          <w:highlight w:val="none"/>
          <w:u w:val="none"/>
          <w:lang w:val="en-US" w:eastAsia="zh-CN" w:bidi="ar"/>
        </w:rPr>
        <w:t>。并积极</w:t>
      </w:r>
      <w:r>
        <w:rPr>
          <w:rFonts w:hint="default" w:ascii="仿宋_GB2312" w:hAnsi="仿宋_GB2312" w:eastAsia="仿宋_GB2312" w:cs="黑体"/>
          <w:i w:val="0"/>
          <w:caps w:val="0"/>
          <w:color w:val="auto"/>
          <w:spacing w:val="0"/>
          <w:kern w:val="0"/>
          <w:sz w:val="32"/>
          <w:szCs w:val="32"/>
          <w:highlight w:val="none"/>
          <w:u w:val="none"/>
          <w:lang w:val="en-US" w:eastAsia="zh-CN" w:bidi="ar"/>
        </w:rPr>
        <w:t>推进</w:t>
      </w:r>
      <w:r>
        <w:rPr>
          <w:rFonts w:hint="eastAsia" w:ascii="仿宋_GB2312" w:hAnsi="仿宋_GB2312" w:eastAsia="仿宋_GB2312" w:cs="黑体"/>
          <w:i w:val="0"/>
          <w:caps w:val="0"/>
          <w:color w:val="auto"/>
          <w:spacing w:val="0"/>
          <w:kern w:val="0"/>
          <w:sz w:val="32"/>
          <w:szCs w:val="32"/>
          <w:highlight w:val="none"/>
          <w:u w:val="none"/>
          <w:lang w:val="en-US" w:eastAsia="zh-CN" w:bidi="ar"/>
        </w:rPr>
        <w:t>宣传推广单位微信公众号，截至2022年底，和田地区自然资源局微信公众号已注册用户304人。主动对接和田地区行政公署政务公开管理部门，按照相关要求及时审核报送行业服务内容、政策法规和重大事项等公开内容，最大程度实现信息共享</w:t>
      </w:r>
      <w:r>
        <w:rPr>
          <w:rFonts w:hint="default" w:ascii="仿宋_GB2312" w:hAnsi="仿宋_GB2312" w:eastAsia="仿宋_GB2312" w:cs="黑体"/>
          <w:i w:val="0"/>
          <w:caps w:val="0"/>
          <w:color w:val="auto"/>
          <w:spacing w:val="0"/>
          <w:kern w:val="0"/>
          <w:sz w:val="32"/>
          <w:szCs w:val="32"/>
          <w:highlight w:val="none"/>
          <w:u w:val="none"/>
          <w:lang w:val="en-US" w:eastAsia="zh-CN" w:bidi="ar"/>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3" w:firstLineChars="200"/>
        <w:jc w:val="left"/>
        <w:textAlignment w:val="auto"/>
        <w:outlineLvl w:val="9"/>
        <w:rPr>
          <w:rFonts w:hint="default" w:ascii="仿宋_GB2312" w:hAnsi="仿宋_GB2312" w:eastAsia="仿宋_GB2312" w:cs="黑体"/>
          <w:i w:val="0"/>
          <w:caps w:val="0"/>
          <w:color w:val="auto"/>
          <w:spacing w:val="0"/>
          <w:kern w:val="0"/>
          <w:sz w:val="32"/>
          <w:szCs w:val="32"/>
          <w:highlight w:val="none"/>
          <w:u w:val="none"/>
          <w:lang w:val="en-US" w:eastAsia="zh-CN" w:bidi="ar"/>
        </w:rPr>
      </w:pPr>
      <w:r>
        <w:rPr>
          <w:rFonts w:hint="eastAsia" w:ascii="楷体_GB2312" w:hAnsi="楷体_GB2312" w:eastAsia="楷体_GB2312" w:cs="楷体_GB2312"/>
          <w:b/>
          <w:bCs/>
          <w:i w:val="0"/>
          <w:caps w:val="0"/>
          <w:color w:val="auto"/>
          <w:spacing w:val="0"/>
          <w:sz w:val="32"/>
          <w:szCs w:val="32"/>
          <w:highlight w:val="none"/>
          <w:u w:val="none"/>
          <w:shd w:val="clear" w:fill="FFFFFF"/>
          <w:lang w:val="en-US" w:eastAsia="zh-CN"/>
        </w:rPr>
        <w:t>（五）</w:t>
      </w:r>
      <w:r>
        <w:rPr>
          <w:rFonts w:hint="default" w:ascii="楷体_GB2312" w:hAnsi="楷体_GB2312" w:eastAsia="楷体_GB2312" w:cs="楷体_GB2312"/>
          <w:b/>
          <w:bCs/>
          <w:i w:val="0"/>
          <w:caps w:val="0"/>
          <w:color w:val="auto"/>
          <w:spacing w:val="0"/>
          <w:sz w:val="32"/>
          <w:szCs w:val="32"/>
          <w:highlight w:val="none"/>
          <w:u w:val="none"/>
          <w:shd w:val="clear" w:fill="FFFFFF"/>
          <w:lang w:val="en-US" w:eastAsia="zh-CN"/>
        </w:rPr>
        <w:t>强化监督保障工作。</w:t>
      </w:r>
      <w:r>
        <w:rPr>
          <w:rFonts w:hint="default" w:ascii="仿宋_GB2312" w:hAnsi="仿宋_GB2312" w:eastAsia="仿宋_GB2312" w:cs="黑体"/>
          <w:i w:val="0"/>
          <w:caps w:val="0"/>
          <w:color w:val="auto"/>
          <w:spacing w:val="0"/>
          <w:kern w:val="0"/>
          <w:sz w:val="32"/>
          <w:szCs w:val="32"/>
          <w:highlight w:val="none"/>
          <w:u w:val="none"/>
          <w:lang w:val="en-US" w:eastAsia="zh-CN" w:bidi="ar"/>
        </w:rPr>
        <w:t>把政务公开工作列入年度自然资源重点工作，做到与其他工作同谋划、同部署、同落实。印发年度自然资源政务公开工作要点，细化工作任务，明确责任</w:t>
      </w:r>
      <w:r>
        <w:rPr>
          <w:rFonts w:hint="eastAsia" w:ascii="仿宋_GB2312" w:hAnsi="仿宋_GB2312" w:eastAsia="仿宋_GB2312" w:cs="黑体"/>
          <w:i w:val="0"/>
          <w:caps w:val="0"/>
          <w:color w:val="auto"/>
          <w:spacing w:val="0"/>
          <w:kern w:val="0"/>
          <w:sz w:val="32"/>
          <w:szCs w:val="32"/>
          <w:highlight w:val="none"/>
          <w:u w:val="none"/>
          <w:lang w:val="en-US" w:eastAsia="zh-CN" w:bidi="ar"/>
        </w:rPr>
        <w:t>科</w:t>
      </w:r>
      <w:r>
        <w:rPr>
          <w:rFonts w:hint="default" w:ascii="仿宋_GB2312" w:hAnsi="仿宋_GB2312" w:eastAsia="仿宋_GB2312" w:cs="黑体"/>
          <w:i w:val="0"/>
          <w:caps w:val="0"/>
          <w:color w:val="auto"/>
          <w:spacing w:val="0"/>
          <w:kern w:val="0"/>
          <w:sz w:val="32"/>
          <w:szCs w:val="32"/>
          <w:highlight w:val="none"/>
          <w:u w:val="none"/>
          <w:lang w:val="en-US" w:eastAsia="zh-CN" w:bidi="ar"/>
        </w:rPr>
        <w:t>室和完成时限。</w:t>
      </w:r>
      <w:r>
        <w:rPr>
          <w:rFonts w:hint="eastAsia" w:ascii="仿宋_GB2312" w:hAnsi="仿宋_GB2312" w:eastAsia="仿宋_GB2312" w:cs="黑体"/>
          <w:i w:val="0"/>
          <w:caps w:val="0"/>
          <w:color w:val="auto"/>
          <w:spacing w:val="0"/>
          <w:kern w:val="0"/>
          <w:sz w:val="32"/>
          <w:szCs w:val="32"/>
          <w:highlight w:val="none"/>
          <w:u w:val="none"/>
          <w:lang w:val="en-US" w:eastAsia="zh-CN" w:bidi="ar"/>
        </w:rPr>
        <w:t>动态关注和田地区行政公署官网，</w:t>
      </w:r>
      <w:r>
        <w:rPr>
          <w:rFonts w:hint="default" w:ascii="仿宋_GB2312" w:hAnsi="仿宋_GB2312" w:eastAsia="仿宋_GB2312" w:cs="黑体"/>
          <w:i w:val="0"/>
          <w:caps w:val="0"/>
          <w:color w:val="auto"/>
          <w:spacing w:val="0"/>
          <w:kern w:val="0"/>
          <w:sz w:val="32"/>
          <w:szCs w:val="32"/>
          <w:highlight w:val="none"/>
          <w:u w:val="none"/>
          <w:lang w:val="en-US" w:eastAsia="zh-CN" w:bidi="ar"/>
        </w:rPr>
        <w:t>及时掌握</w:t>
      </w:r>
      <w:r>
        <w:rPr>
          <w:rFonts w:hint="eastAsia" w:ascii="仿宋_GB2312" w:hAnsi="仿宋_GB2312" w:eastAsia="仿宋_GB2312" w:cs="黑体"/>
          <w:i w:val="0"/>
          <w:caps w:val="0"/>
          <w:color w:val="auto"/>
          <w:spacing w:val="0"/>
          <w:kern w:val="0"/>
          <w:sz w:val="32"/>
          <w:szCs w:val="32"/>
          <w:highlight w:val="none"/>
          <w:u w:val="none"/>
          <w:lang w:val="en-US" w:eastAsia="zh-CN" w:bidi="ar"/>
        </w:rPr>
        <w:t>政务公开</w:t>
      </w:r>
      <w:r>
        <w:rPr>
          <w:rFonts w:hint="default" w:ascii="仿宋_GB2312" w:hAnsi="仿宋_GB2312" w:eastAsia="仿宋_GB2312" w:cs="黑体"/>
          <w:i w:val="0"/>
          <w:caps w:val="0"/>
          <w:color w:val="auto"/>
          <w:spacing w:val="0"/>
          <w:kern w:val="0"/>
          <w:sz w:val="32"/>
          <w:szCs w:val="32"/>
          <w:highlight w:val="none"/>
          <w:u w:val="none"/>
          <w:lang w:val="en-US" w:eastAsia="zh-CN" w:bidi="ar"/>
        </w:rPr>
        <w:t>工作</w:t>
      </w:r>
      <w:r>
        <w:rPr>
          <w:rFonts w:hint="eastAsia" w:ascii="仿宋_GB2312" w:hAnsi="仿宋_GB2312" w:eastAsia="仿宋_GB2312" w:cs="黑体"/>
          <w:i w:val="0"/>
          <w:caps w:val="0"/>
          <w:color w:val="auto"/>
          <w:spacing w:val="0"/>
          <w:kern w:val="0"/>
          <w:sz w:val="32"/>
          <w:szCs w:val="32"/>
          <w:highlight w:val="none"/>
          <w:u w:val="none"/>
          <w:lang w:val="en-US" w:eastAsia="zh-CN" w:bidi="ar"/>
        </w:rPr>
        <w:t>进度</w:t>
      </w:r>
      <w:r>
        <w:rPr>
          <w:rFonts w:hint="default" w:ascii="仿宋_GB2312" w:hAnsi="仿宋_GB2312" w:eastAsia="仿宋_GB2312" w:cs="黑体"/>
          <w:i w:val="0"/>
          <w:caps w:val="0"/>
          <w:color w:val="auto"/>
          <w:spacing w:val="0"/>
          <w:kern w:val="0"/>
          <w:sz w:val="32"/>
          <w:szCs w:val="32"/>
          <w:highlight w:val="none"/>
          <w:u w:val="none"/>
          <w:lang w:val="en-US" w:eastAsia="zh-CN" w:bidi="ar"/>
        </w:rPr>
        <w:t>，分析存在问题，</w:t>
      </w:r>
      <w:r>
        <w:rPr>
          <w:rFonts w:hint="eastAsia" w:ascii="仿宋_GB2312" w:hAnsi="仿宋_GB2312" w:eastAsia="仿宋_GB2312" w:cs="黑体"/>
          <w:i w:val="0"/>
          <w:caps w:val="0"/>
          <w:color w:val="auto"/>
          <w:spacing w:val="0"/>
          <w:kern w:val="0"/>
          <w:sz w:val="32"/>
          <w:szCs w:val="32"/>
          <w:highlight w:val="none"/>
          <w:u w:val="none"/>
          <w:lang w:val="en-US" w:eastAsia="zh-CN" w:bidi="ar"/>
        </w:rPr>
        <w:t>积极</w:t>
      </w:r>
      <w:r>
        <w:rPr>
          <w:rFonts w:hint="default" w:ascii="仿宋_GB2312" w:hAnsi="仿宋_GB2312" w:eastAsia="仿宋_GB2312" w:cs="黑体"/>
          <w:i w:val="0"/>
          <w:caps w:val="0"/>
          <w:color w:val="auto"/>
          <w:spacing w:val="0"/>
          <w:kern w:val="0"/>
          <w:sz w:val="32"/>
          <w:szCs w:val="32"/>
          <w:highlight w:val="none"/>
          <w:u w:val="none"/>
          <w:lang w:val="en-US" w:eastAsia="zh-CN" w:bidi="ar"/>
        </w:rPr>
        <w:t>推进落实，并把落实情况作为年底考核重要依据。</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outlineLvl w:val="9"/>
        <w:rPr>
          <w:color w:val="auto"/>
          <w:highlight w:val="none"/>
        </w:rPr>
      </w:pPr>
      <w:r>
        <w:rPr>
          <w:rFonts w:hint="default" w:ascii="黑体" w:hAnsi="宋体" w:eastAsia="黑体" w:cs="黑体"/>
          <w:i w:val="0"/>
          <w:caps w:val="0"/>
          <w:color w:val="auto"/>
          <w:spacing w:val="0"/>
          <w:kern w:val="0"/>
          <w:sz w:val="32"/>
          <w:szCs w:val="32"/>
          <w:highlight w:val="none"/>
          <w:u w:val="none"/>
          <w:lang w:val="en-US" w:eastAsia="zh-CN" w:bidi="ar"/>
        </w:rPr>
        <w:t>二、主动公开政府信息情况</w:t>
      </w:r>
    </w:p>
    <w:tbl>
      <w:tblPr>
        <w:tblStyle w:val="9"/>
        <w:tblpPr w:leftFromText="180" w:rightFromText="180" w:vertAnchor="text" w:horzAnchor="page" w:tblpXSpec="center" w:tblpY="144"/>
        <w:tblOverlap w:val="never"/>
        <w:tblW w:w="9300" w:type="dxa"/>
        <w:jc w:val="center"/>
        <w:tblInd w:w="0" w:type="dxa"/>
        <w:shd w:val="clear" w:color="auto" w:fill="auto"/>
        <w:tblLayout w:type="fixed"/>
        <w:tblCellMar>
          <w:top w:w="0" w:type="dxa"/>
          <w:left w:w="0" w:type="dxa"/>
          <w:bottom w:w="0" w:type="dxa"/>
          <w:right w:w="0" w:type="dxa"/>
        </w:tblCellMar>
      </w:tblPr>
      <w:tblGrid>
        <w:gridCol w:w="2447"/>
        <w:gridCol w:w="2213"/>
        <w:gridCol w:w="2212"/>
        <w:gridCol w:w="2428"/>
      </w:tblGrid>
      <w:tr>
        <w:tblPrEx>
          <w:shd w:val="clear" w:color="auto" w:fill="auto"/>
          <w:tblLayout w:type="fixed"/>
          <w:tblCellMar>
            <w:top w:w="0" w:type="dxa"/>
            <w:left w:w="0" w:type="dxa"/>
            <w:bottom w:w="0" w:type="dxa"/>
            <w:right w:w="0" w:type="dxa"/>
          </w:tblCellMar>
        </w:tblPrEx>
        <w:trPr>
          <w:trHeight w:val="417" w:hRule="atLeast"/>
          <w:jc w:val="center"/>
        </w:trPr>
        <w:tc>
          <w:tcPr>
            <w:tcW w:w="930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第二十条第（一）项</w:t>
            </w:r>
          </w:p>
        </w:tc>
      </w:tr>
      <w:tr>
        <w:tblPrEx>
          <w:tblLayout w:type="fixed"/>
          <w:tblCellMar>
            <w:top w:w="0" w:type="dxa"/>
            <w:left w:w="0" w:type="dxa"/>
            <w:bottom w:w="0" w:type="dxa"/>
            <w:right w:w="0" w:type="dxa"/>
          </w:tblCellMar>
        </w:tblPrEx>
        <w:trPr>
          <w:trHeight w:val="345"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信息内容</w:t>
            </w:r>
          </w:p>
        </w:tc>
        <w:tc>
          <w:tcPr>
            <w:tcW w:w="221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本年制发件数</w:t>
            </w:r>
          </w:p>
        </w:tc>
        <w:tc>
          <w:tcPr>
            <w:tcW w:w="221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本年废止件数</w:t>
            </w:r>
          </w:p>
        </w:tc>
        <w:tc>
          <w:tcPr>
            <w:tcW w:w="242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现行有效件数</w:t>
            </w:r>
          </w:p>
        </w:tc>
      </w:tr>
      <w:tr>
        <w:tblPrEx>
          <w:tblLayout w:type="fixed"/>
          <w:tblCellMar>
            <w:top w:w="0" w:type="dxa"/>
            <w:left w:w="0" w:type="dxa"/>
            <w:bottom w:w="0" w:type="dxa"/>
            <w:right w:w="0" w:type="dxa"/>
          </w:tblCellMar>
        </w:tblPrEx>
        <w:trPr>
          <w:trHeight w:val="369"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规章</w:t>
            </w:r>
          </w:p>
        </w:tc>
        <w:tc>
          <w:tcPr>
            <w:tcW w:w="221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default"/>
                <w:color w:val="auto"/>
                <w:sz w:val="20"/>
                <w:szCs w:val="20"/>
                <w:highlight w:val="none"/>
                <w:lang w:val="en-US"/>
              </w:rPr>
            </w:pPr>
            <w:r>
              <w:rPr>
                <w:rFonts w:hint="eastAsia" w:ascii="宋体" w:hAnsi="宋体" w:eastAsia="宋体" w:cs="宋体"/>
                <w:color w:val="auto"/>
                <w:kern w:val="0"/>
                <w:sz w:val="20"/>
                <w:szCs w:val="20"/>
                <w:highlight w:val="none"/>
                <w:lang w:val="en-US" w:eastAsia="zh-CN" w:bidi="ar"/>
              </w:rPr>
              <w:t>　　0</w:t>
            </w:r>
          </w:p>
        </w:tc>
        <w:tc>
          <w:tcPr>
            <w:tcW w:w="2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default"/>
                <w:color w:val="auto"/>
                <w:sz w:val="20"/>
                <w:szCs w:val="20"/>
                <w:highlight w:val="none"/>
                <w:lang w:val="en-US"/>
              </w:rPr>
            </w:pPr>
            <w:r>
              <w:rPr>
                <w:rFonts w:hint="eastAsia" w:ascii="宋体" w:hAnsi="宋体" w:eastAsia="宋体" w:cs="宋体"/>
                <w:color w:val="auto"/>
                <w:kern w:val="0"/>
                <w:sz w:val="20"/>
                <w:szCs w:val="20"/>
                <w:highlight w:val="none"/>
                <w:lang w:val="en-US" w:eastAsia="zh-CN" w:bidi="ar"/>
              </w:rPr>
              <w:t> 　0</w:t>
            </w:r>
          </w:p>
        </w:tc>
        <w:tc>
          <w:tcPr>
            <w:tcW w:w="242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default"/>
                <w:color w:val="auto"/>
                <w:sz w:val="20"/>
                <w:szCs w:val="20"/>
                <w:highlight w:val="none"/>
                <w:lang w:val="en-US"/>
              </w:rPr>
            </w:pPr>
            <w:r>
              <w:rPr>
                <w:rFonts w:ascii="Calibri" w:hAnsi="Calibri" w:cs="Calibri" w:eastAsiaTheme="minorEastAsia"/>
                <w:color w:val="auto"/>
                <w:kern w:val="0"/>
                <w:sz w:val="20"/>
                <w:szCs w:val="20"/>
                <w:highlight w:val="none"/>
                <w:lang w:val="en-US" w:eastAsia="zh-CN" w:bidi="ar"/>
              </w:rPr>
              <w:t> </w:t>
            </w:r>
            <w:r>
              <w:rPr>
                <w:rFonts w:hint="eastAsia" w:ascii="Calibri" w:hAnsi="Calibri" w:cs="Calibri"/>
                <w:color w:val="auto"/>
                <w:kern w:val="0"/>
                <w:sz w:val="20"/>
                <w:szCs w:val="20"/>
                <w:highlight w:val="none"/>
                <w:lang w:val="en-US" w:eastAsia="zh-CN" w:bidi="ar"/>
              </w:rPr>
              <w:t>0</w:t>
            </w:r>
          </w:p>
        </w:tc>
      </w:tr>
      <w:tr>
        <w:tblPrEx>
          <w:tblLayout w:type="fixed"/>
          <w:tblCellMar>
            <w:top w:w="0" w:type="dxa"/>
            <w:left w:w="0" w:type="dxa"/>
            <w:bottom w:w="0" w:type="dxa"/>
            <w:right w:w="0" w:type="dxa"/>
          </w:tblCellMar>
        </w:tblPrEx>
        <w:trPr>
          <w:trHeight w:val="381"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行政规范性文件</w:t>
            </w:r>
          </w:p>
        </w:tc>
        <w:tc>
          <w:tcPr>
            <w:tcW w:w="221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default"/>
                <w:color w:val="auto"/>
                <w:sz w:val="20"/>
                <w:szCs w:val="20"/>
                <w:highlight w:val="none"/>
                <w:lang w:val="en-US"/>
              </w:rPr>
            </w:pPr>
            <w:r>
              <w:rPr>
                <w:rFonts w:hint="eastAsia" w:ascii="宋体" w:hAnsi="宋体" w:eastAsia="宋体" w:cs="宋体"/>
                <w:color w:val="auto"/>
                <w:kern w:val="0"/>
                <w:sz w:val="20"/>
                <w:szCs w:val="20"/>
                <w:highlight w:val="none"/>
                <w:lang w:val="en-US" w:eastAsia="zh-CN" w:bidi="ar"/>
              </w:rPr>
              <w:t>　　0</w:t>
            </w:r>
          </w:p>
        </w:tc>
        <w:tc>
          <w:tcPr>
            <w:tcW w:w="2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default"/>
                <w:color w:val="auto"/>
                <w:sz w:val="20"/>
                <w:szCs w:val="20"/>
                <w:highlight w:val="none"/>
                <w:lang w:val="en-US"/>
              </w:rPr>
            </w:pPr>
            <w:r>
              <w:rPr>
                <w:rFonts w:hint="eastAsia" w:ascii="宋体" w:hAnsi="宋体" w:eastAsia="宋体" w:cs="宋体"/>
                <w:color w:val="auto"/>
                <w:kern w:val="0"/>
                <w:sz w:val="20"/>
                <w:szCs w:val="20"/>
                <w:highlight w:val="none"/>
                <w:lang w:val="en-US" w:eastAsia="zh-CN" w:bidi="ar"/>
              </w:rPr>
              <w:t> 　0</w:t>
            </w:r>
          </w:p>
        </w:tc>
        <w:tc>
          <w:tcPr>
            <w:tcW w:w="242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default"/>
                <w:color w:val="auto"/>
                <w:sz w:val="20"/>
                <w:szCs w:val="20"/>
                <w:highlight w:val="none"/>
                <w:lang w:val="en-US"/>
              </w:rPr>
            </w:pPr>
            <w:r>
              <w:rPr>
                <w:rFonts w:hint="default" w:ascii="Calibri" w:hAnsi="Calibri" w:cs="Calibri" w:eastAsiaTheme="minorEastAsia"/>
                <w:color w:val="auto"/>
                <w:kern w:val="0"/>
                <w:sz w:val="20"/>
                <w:szCs w:val="20"/>
                <w:highlight w:val="none"/>
                <w:lang w:val="en-US" w:eastAsia="zh-CN" w:bidi="ar"/>
              </w:rPr>
              <w:t> </w:t>
            </w:r>
            <w:r>
              <w:rPr>
                <w:rFonts w:hint="eastAsia" w:ascii="Calibri" w:hAnsi="Calibri" w:cs="Calibri"/>
                <w:color w:val="auto"/>
                <w:kern w:val="0"/>
                <w:sz w:val="20"/>
                <w:szCs w:val="20"/>
                <w:highlight w:val="none"/>
                <w:lang w:val="en-US" w:eastAsia="zh-CN" w:bidi="ar"/>
              </w:rPr>
              <w:t>0</w:t>
            </w:r>
          </w:p>
        </w:tc>
      </w:tr>
      <w:tr>
        <w:tblPrEx>
          <w:tblLayout w:type="fixed"/>
          <w:tblCellMar>
            <w:top w:w="0" w:type="dxa"/>
            <w:left w:w="0" w:type="dxa"/>
            <w:bottom w:w="0" w:type="dxa"/>
            <w:right w:w="0" w:type="dxa"/>
          </w:tblCellMar>
        </w:tblPrEx>
        <w:trPr>
          <w:trHeight w:val="417" w:hRule="atLeast"/>
          <w:jc w:val="center"/>
        </w:trPr>
        <w:tc>
          <w:tcPr>
            <w:tcW w:w="93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第二十条第（五）项</w:t>
            </w:r>
          </w:p>
        </w:tc>
      </w:tr>
      <w:tr>
        <w:tblPrEx>
          <w:tblLayout w:type="fixed"/>
          <w:tblCellMar>
            <w:top w:w="0" w:type="dxa"/>
            <w:left w:w="0" w:type="dxa"/>
            <w:bottom w:w="0" w:type="dxa"/>
            <w:right w:w="0" w:type="dxa"/>
          </w:tblCellMar>
        </w:tblPrEx>
        <w:trPr>
          <w:trHeight w:val="369"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信息内容</w:t>
            </w:r>
          </w:p>
        </w:tc>
        <w:tc>
          <w:tcPr>
            <w:tcW w:w="68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本年处理决定数量</w:t>
            </w:r>
          </w:p>
        </w:tc>
      </w:tr>
      <w:tr>
        <w:tblPrEx>
          <w:tblLayout w:type="fixed"/>
          <w:tblCellMar>
            <w:top w:w="0" w:type="dxa"/>
            <w:left w:w="0" w:type="dxa"/>
            <w:bottom w:w="0" w:type="dxa"/>
            <w:right w:w="0" w:type="dxa"/>
          </w:tblCellMar>
        </w:tblPrEx>
        <w:trPr>
          <w:trHeight w:val="309"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行政许可</w:t>
            </w:r>
          </w:p>
        </w:tc>
        <w:tc>
          <w:tcPr>
            <w:tcW w:w="68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color w:val="auto"/>
                <w:sz w:val="20"/>
                <w:szCs w:val="20"/>
                <w:highlight w:val="none"/>
                <w:lang w:val="en-US"/>
              </w:rPr>
            </w:pPr>
            <w:r>
              <w:rPr>
                <w:rFonts w:hint="eastAsia" w:ascii="Calibri" w:hAnsi="Calibri" w:cs="Calibri"/>
                <w:color w:val="auto"/>
                <w:kern w:val="0"/>
                <w:sz w:val="20"/>
                <w:szCs w:val="20"/>
                <w:highlight w:val="none"/>
                <w:lang w:val="en-US" w:eastAsia="zh-CN" w:bidi="ar"/>
              </w:rPr>
              <w:t>261</w:t>
            </w:r>
          </w:p>
        </w:tc>
      </w:tr>
      <w:tr>
        <w:tblPrEx>
          <w:tblLayout w:type="fixed"/>
          <w:tblCellMar>
            <w:top w:w="0" w:type="dxa"/>
            <w:left w:w="0" w:type="dxa"/>
            <w:bottom w:w="0" w:type="dxa"/>
            <w:right w:w="0" w:type="dxa"/>
          </w:tblCellMar>
        </w:tblPrEx>
        <w:trPr>
          <w:trHeight w:val="417" w:hRule="atLeast"/>
          <w:jc w:val="center"/>
        </w:trPr>
        <w:tc>
          <w:tcPr>
            <w:tcW w:w="93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第二十条第（六）项</w:t>
            </w:r>
          </w:p>
        </w:tc>
      </w:tr>
      <w:tr>
        <w:tblPrEx>
          <w:tblLayout w:type="fixed"/>
          <w:tblCellMar>
            <w:top w:w="0" w:type="dxa"/>
            <w:left w:w="0" w:type="dxa"/>
            <w:bottom w:w="0" w:type="dxa"/>
            <w:right w:w="0" w:type="dxa"/>
          </w:tblCellMar>
        </w:tblPrEx>
        <w:trPr>
          <w:trHeight w:val="345"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信息内容</w:t>
            </w:r>
          </w:p>
        </w:tc>
        <w:tc>
          <w:tcPr>
            <w:tcW w:w="6853"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本年处理决定数量</w:t>
            </w:r>
          </w:p>
        </w:tc>
      </w:tr>
      <w:tr>
        <w:tblPrEx>
          <w:tblLayout w:type="fixed"/>
          <w:tblCellMar>
            <w:top w:w="0" w:type="dxa"/>
            <w:left w:w="0" w:type="dxa"/>
            <w:bottom w:w="0" w:type="dxa"/>
            <w:right w:w="0" w:type="dxa"/>
          </w:tblCellMar>
        </w:tblPrEx>
        <w:trPr>
          <w:trHeight w:val="345"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行政处罚</w:t>
            </w:r>
          </w:p>
        </w:tc>
        <w:tc>
          <w:tcPr>
            <w:tcW w:w="68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0</w:t>
            </w:r>
          </w:p>
        </w:tc>
      </w:tr>
      <w:tr>
        <w:tblPrEx>
          <w:tblLayout w:type="fixed"/>
          <w:tblCellMar>
            <w:top w:w="0" w:type="dxa"/>
            <w:left w:w="0" w:type="dxa"/>
            <w:bottom w:w="0" w:type="dxa"/>
            <w:right w:w="0" w:type="dxa"/>
          </w:tblCellMar>
        </w:tblPrEx>
        <w:trPr>
          <w:trHeight w:val="321"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行政强制</w:t>
            </w:r>
          </w:p>
        </w:tc>
        <w:tc>
          <w:tcPr>
            <w:tcW w:w="68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color w:val="auto"/>
                <w:sz w:val="20"/>
                <w:szCs w:val="20"/>
                <w:highlight w:val="none"/>
                <w:lang w:val="en-US"/>
              </w:rPr>
            </w:pPr>
            <w:r>
              <w:rPr>
                <w:rFonts w:hint="eastAsia" w:ascii="宋体" w:hAnsi="宋体" w:eastAsia="宋体" w:cs="宋体"/>
                <w:color w:val="auto"/>
                <w:kern w:val="0"/>
                <w:sz w:val="20"/>
                <w:szCs w:val="20"/>
                <w:highlight w:val="none"/>
                <w:lang w:val="en-US" w:eastAsia="zh-CN" w:bidi="ar"/>
              </w:rPr>
              <w:t>0</w:t>
            </w:r>
          </w:p>
        </w:tc>
      </w:tr>
      <w:tr>
        <w:tblPrEx>
          <w:tblLayout w:type="fixed"/>
          <w:tblCellMar>
            <w:top w:w="0" w:type="dxa"/>
            <w:left w:w="0" w:type="dxa"/>
            <w:bottom w:w="0" w:type="dxa"/>
            <w:right w:w="0" w:type="dxa"/>
          </w:tblCellMar>
        </w:tblPrEx>
        <w:trPr>
          <w:trHeight w:val="417" w:hRule="atLeast"/>
          <w:jc w:val="center"/>
        </w:trPr>
        <w:tc>
          <w:tcPr>
            <w:tcW w:w="93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第二十条第（八）项</w:t>
            </w:r>
          </w:p>
        </w:tc>
      </w:tr>
      <w:tr>
        <w:tblPrEx>
          <w:tblLayout w:type="fixed"/>
          <w:tblCellMar>
            <w:top w:w="0" w:type="dxa"/>
            <w:left w:w="0" w:type="dxa"/>
            <w:bottom w:w="0" w:type="dxa"/>
            <w:right w:w="0" w:type="dxa"/>
          </w:tblCellMar>
        </w:tblPrEx>
        <w:trPr>
          <w:trHeight w:val="357"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信息内容</w:t>
            </w:r>
          </w:p>
        </w:tc>
        <w:tc>
          <w:tcPr>
            <w:tcW w:w="6853"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本年收费金额（单位：万元）</w:t>
            </w:r>
          </w:p>
        </w:tc>
      </w:tr>
      <w:tr>
        <w:tblPrEx>
          <w:tblLayout w:type="fixed"/>
          <w:tblCellMar>
            <w:top w:w="0" w:type="dxa"/>
            <w:left w:w="0" w:type="dxa"/>
            <w:bottom w:w="0" w:type="dxa"/>
            <w:right w:w="0" w:type="dxa"/>
          </w:tblCellMar>
        </w:tblPrEx>
        <w:trPr>
          <w:trHeight w:val="357" w:hRule="atLeast"/>
          <w:jc w:val="center"/>
        </w:trPr>
        <w:tc>
          <w:tcPr>
            <w:tcW w:w="244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auto"/>
                <w:sz w:val="20"/>
                <w:szCs w:val="20"/>
                <w:highlight w:val="none"/>
              </w:rPr>
            </w:pPr>
            <w:r>
              <w:rPr>
                <w:rFonts w:hint="eastAsia" w:ascii="宋体" w:hAnsi="宋体" w:eastAsia="宋体" w:cs="宋体"/>
                <w:color w:val="auto"/>
                <w:kern w:val="0"/>
                <w:sz w:val="20"/>
                <w:szCs w:val="20"/>
                <w:highlight w:val="none"/>
                <w:lang w:val="en-US" w:eastAsia="zh-CN" w:bidi="ar"/>
              </w:rPr>
              <w:t>行政事业性收费</w:t>
            </w:r>
          </w:p>
        </w:tc>
        <w:tc>
          <w:tcPr>
            <w:tcW w:w="6853"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Theme="minorEastAsia"/>
                <w:color w:val="auto"/>
                <w:sz w:val="20"/>
                <w:szCs w:val="20"/>
                <w:highlight w:val="none"/>
                <w:lang w:val="en-US" w:eastAsia="zh-CN"/>
              </w:rPr>
            </w:pPr>
            <w:r>
              <w:rPr>
                <w:rFonts w:hint="eastAsia" w:ascii="宋体"/>
                <w:color w:val="auto"/>
                <w:sz w:val="20"/>
                <w:szCs w:val="20"/>
                <w:highlight w:val="none"/>
                <w:lang w:val="en-US" w:eastAsia="zh-CN"/>
              </w:rPr>
              <w:t>0</w:t>
            </w:r>
          </w:p>
        </w:tc>
      </w:tr>
    </w:tbl>
    <w:p>
      <w:pPr>
        <w:pStyle w:val="6"/>
        <w:widowControl/>
        <w:pBdr>
          <w:top w:val="none" w:color="auto" w:sz="0" w:space="0"/>
          <w:left w:val="none" w:color="auto" w:sz="0" w:space="0"/>
          <w:bottom w:val="none" w:color="auto" w:sz="0" w:space="0"/>
          <w:right w:val="none" w:color="auto" w:sz="0" w:space="0"/>
        </w:pBdr>
        <w:spacing w:beforeAutospacing="0" w:after="0" w:afterAutospacing="0" w:line="560" w:lineRule="atLeast"/>
        <w:ind w:left="0" w:right="0"/>
        <w:jc w:val="both"/>
        <w:rPr>
          <w:rFonts w:hint="eastAsia" w:ascii="黑体" w:hAnsi="黑体" w:eastAsia="黑体" w:cs="黑体"/>
          <w:color w:val="auto"/>
          <w:sz w:val="32"/>
          <w:szCs w:val="32"/>
          <w:highlight w:val="none"/>
        </w:rPr>
      </w:pPr>
      <w:r>
        <w:rPr>
          <w:rFonts w:hint="eastAsia" w:ascii="黑体" w:hAnsi="黑体" w:eastAsia="黑体" w:cs="黑体"/>
          <w:i w:val="0"/>
          <w:caps w:val="0"/>
          <w:color w:val="auto"/>
          <w:spacing w:val="0"/>
          <w:sz w:val="32"/>
          <w:szCs w:val="32"/>
          <w:highlight w:val="none"/>
          <w:u w:val="none"/>
        </w:rPr>
        <w:t>三、收到和处理政府信息公开申请情况</w:t>
      </w:r>
    </w:p>
    <w:tbl>
      <w:tblPr>
        <w:tblStyle w:val="9"/>
        <w:tblW w:w="921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7"/>
        <w:gridCol w:w="826"/>
        <w:gridCol w:w="3188"/>
        <w:gridCol w:w="581"/>
        <w:gridCol w:w="881"/>
        <w:gridCol w:w="707"/>
        <w:gridCol w:w="706"/>
        <w:gridCol w:w="707"/>
        <w:gridCol w:w="465"/>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1" w:hRule="atLeast"/>
          <w:jc w:val="center"/>
        </w:trPr>
        <w:tc>
          <w:tcPr>
            <w:tcW w:w="4711"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（本列数据的勾稽关系为：第一项加第二项之和，等于第三项加第四项之和）</w:t>
            </w:r>
          </w:p>
        </w:tc>
        <w:tc>
          <w:tcPr>
            <w:tcW w:w="4503" w:type="dxa"/>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1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58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自然人</w:t>
            </w:r>
          </w:p>
        </w:tc>
        <w:tc>
          <w:tcPr>
            <w:tcW w:w="3466"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法人或其他组织</w:t>
            </w:r>
          </w:p>
        </w:tc>
        <w:tc>
          <w:tcPr>
            <w:tcW w:w="45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74" w:hRule="atLeast"/>
          <w:jc w:val="center"/>
        </w:trPr>
        <w:tc>
          <w:tcPr>
            <w:tcW w:w="471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5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商业企业</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科研机构</w:t>
            </w:r>
          </w:p>
        </w:tc>
        <w:tc>
          <w:tcPr>
            <w:tcW w:w="7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社会公益组织</w:t>
            </w:r>
          </w:p>
        </w:tc>
        <w:tc>
          <w:tcPr>
            <w:tcW w:w="7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法律服务机构</w:t>
            </w:r>
          </w:p>
        </w:tc>
        <w:tc>
          <w:tcPr>
            <w:tcW w:w="4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其他</w:t>
            </w:r>
          </w:p>
        </w:tc>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62" w:hRule="atLeast"/>
          <w:jc w:val="center"/>
        </w:trPr>
        <w:tc>
          <w:tcPr>
            <w:tcW w:w="471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一、本年新收政府信息公开申请数量</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1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二、上年结转政府信息公开申请数量</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7" w:hRule="atLeast"/>
          <w:jc w:val="center"/>
        </w:trPr>
        <w:tc>
          <w:tcPr>
            <w:tcW w:w="69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三、本年度办理结果</w:t>
            </w:r>
          </w:p>
        </w:tc>
        <w:tc>
          <w:tcPr>
            <w:tcW w:w="401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ascii="楷体" w:hAnsi="楷体" w:eastAsia="楷体" w:cs="楷体"/>
                <w:color w:val="auto"/>
                <w:kern w:val="0"/>
                <w:sz w:val="24"/>
                <w:szCs w:val="24"/>
                <w:highlight w:val="none"/>
                <w:lang w:val="en-US" w:eastAsia="zh-CN" w:bidi="ar"/>
              </w:rPr>
              <w:t>（一）予以公开</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401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楷体" w:hAnsi="楷体" w:eastAsia="楷体" w:cs="楷体"/>
                <w:color w:val="auto"/>
                <w:kern w:val="0"/>
                <w:sz w:val="24"/>
                <w:szCs w:val="24"/>
                <w:highlight w:val="none"/>
                <w:lang w:val="en-US" w:eastAsia="zh-CN" w:bidi="ar"/>
              </w:rPr>
              <w:t>（二）部分公开（区分处理的，只计这一情形，不计其他情形）</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楷体" w:hAnsi="楷体" w:eastAsia="楷体" w:cs="楷体"/>
                <w:color w:val="auto"/>
                <w:kern w:val="0"/>
                <w:sz w:val="24"/>
                <w:szCs w:val="24"/>
                <w:highlight w:val="none"/>
                <w:lang w:val="en-US" w:eastAsia="zh-CN" w:bidi="ar"/>
              </w:rPr>
              <w:t>（三）不予公开</w:t>
            </w: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1.</w:t>
            </w:r>
            <w:r>
              <w:rPr>
                <w:rFonts w:hint="default" w:ascii="楷体" w:hAnsi="楷体" w:eastAsia="楷体" w:cs="楷体"/>
                <w:color w:val="auto"/>
                <w:kern w:val="0"/>
                <w:sz w:val="24"/>
                <w:szCs w:val="24"/>
                <w:highlight w:val="none"/>
                <w:lang w:val="en-US" w:eastAsia="zh-CN" w:bidi="ar"/>
              </w:rPr>
              <w:t>属于国家秘密</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rFonts w:hint="default"/>
                <w:color w:val="auto"/>
                <w:highlight w:val="none"/>
                <w:lang w:val="en-US"/>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79" w:hRule="atLeast"/>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2.</w:t>
            </w:r>
            <w:r>
              <w:rPr>
                <w:rFonts w:hint="default" w:ascii="楷体" w:hAnsi="楷体" w:eastAsia="楷体" w:cs="楷体"/>
                <w:color w:val="auto"/>
                <w:kern w:val="0"/>
                <w:sz w:val="24"/>
                <w:szCs w:val="24"/>
                <w:highlight w:val="none"/>
                <w:lang w:val="en-US" w:eastAsia="zh-CN" w:bidi="ar"/>
              </w:rPr>
              <w:t>其他法律行政法规禁止公开</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3.</w:t>
            </w:r>
            <w:r>
              <w:rPr>
                <w:rFonts w:hint="default" w:ascii="楷体" w:hAnsi="楷体" w:eastAsia="楷体" w:cs="楷体"/>
                <w:color w:val="auto"/>
                <w:kern w:val="0"/>
                <w:sz w:val="24"/>
                <w:szCs w:val="24"/>
                <w:highlight w:val="none"/>
                <w:lang w:val="en-US" w:eastAsia="zh-CN" w:bidi="ar"/>
              </w:rPr>
              <w:t>危及</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楷体" w:hAnsi="楷体" w:eastAsia="楷体" w:cs="楷体"/>
                <w:color w:val="auto"/>
                <w:kern w:val="0"/>
                <w:sz w:val="24"/>
                <w:szCs w:val="24"/>
                <w:highlight w:val="none"/>
                <w:lang w:val="en-US" w:eastAsia="zh-CN" w:bidi="ar"/>
              </w:rPr>
              <w:t>三安全一稳定</w:t>
            </w:r>
            <w:r>
              <w:rPr>
                <w:rFonts w:hint="default" w:ascii="Times New Roman" w:hAnsi="Times New Roman" w:cs="Times New Roman" w:eastAsiaTheme="minorEastAsia"/>
                <w:color w:val="auto"/>
                <w:kern w:val="0"/>
                <w:sz w:val="24"/>
                <w:szCs w:val="24"/>
                <w:highlight w:val="none"/>
                <w:lang w:val="en-US" w:eastAsia="zh-CN" w:bidi="ar"/>
              </w:rPr>
              <w:t>”</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4.</w:t>
            </w:r>
            <w:r>
              <w:rPr>
                <w:rFonts w:hint="default" w:ascii="楷体" w:hAnsi="楷体" w:eastAsia="楷体" w:cs="楷体"/>
                <w:color w:val="auto"/>
                <w:kern w:val="0"/>
                <w:sz w:val="24"/>
                <w:szCs w:val="24"/>
                <w:highlight w:val="none"/>
                <w:lang w:val="en-US" w:eastAsia="zh-CN" w:bidi="ar"/>
              </w:rPr>
              <w:t>保护第三方合法权益</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5.</w:t>
            </w:r>
            <w:r>
              <w:rPr>
                <w:rFonts w:hint="default" w:ascii="楷体" w:hAnsi="楷体" w:eastAsia="楷体" w:cs="楷体"/>
                <w:color w:val="auto"/>
                <w:kern w:val="0"/>
                <w:sz w:val="24"/>
                <w:szCs w:val="24"/>
                <w:highlight w:val="none"/>
                <w:lang w:val="en-US" w:eastAsia="zh-CN" w:bidi="ar"/>
              </w:rPr>
              <w:t>属于三类内部事务信息</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6.</w:t>
            </w:r>
            <w:r>
              <w:rPr>
                <w:rFonts w:hint="default" w:ascii="楷体" w:hAnsi="楷体" w:eastAsia="楷体" w:cs="楷体"/>
                <w:color w:val="auto"/>
                <w:kern w:val="0"/>
                <w:sz w:val="24"/>
                <w:szCs w:val="24"/>
                <w:highlight w:val="none"/>
                <w:lang w:val="en-US" w:eastAsia="zh-CN" w:bidi="ar"/>
              </w:rPr>
              <w:t>属于四类过程性信息</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7.</w:t>
            </w:r>
            <w:r>
              <w:rPr>
                <w:rFonts w:hint="default" w:ascii="楷体" w:hAnsi="楷体" w:eastAsia="楷体" w:cs="楷体"/>
                <w:color w:val="auto"/>
                <w:kern w:val="0"/>
                <w:sz w:val="24"/>
                <w:szCs w:val="24"/>
                <w:highlight w:val="none"/>
                <w:lang w:val="en-US" w:eastAsia="zh-CN" w:bidi="ar"/>
              </w:rPr>
              <w:t>属于行政执法案卷</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0" w:hRule="atLeast"/>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8.</w:t>
            </w:r>
            <w:r>
              <w:rPr>
                <w:rFonts w:hint="default" w:ascii="楷体" w:hAnsi="楷体" w:eastAsia="楷体" w:cs="楷体"/>
                <w:color w:val="auto"/>
                <w:kern w:val="0"/>
                <w:sz w:val="24"/>
                <w:szCs w:val="24"/>
                <w:highlight w:val="none"/>
                <w:lang w:val="en-US" w:eastAsia="zh-CN" w:bidi="ar"/>
              </w:rPr>
              <w:t>属于行政查询事项</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97" w:hRule="atLeast"/>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楷体" w:hAnsi="楷体" w:eastAsia="楷体" w:cs="楷体"/>
                <w:color w:val="auto"/>
                <w:kern w:val="0"/>
                <w:sz w:val="24"/>
                <w:szCs w:val="24"/>
                <w:highlight w:val="none"/>
                <w:lang w:val="en-US" w:eastAsia="zh-CN" w:bidi="ar"/>
              </w:rPr>
              <w:t>（四）无法提供</w:t>
            </w: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1.</w:t>
            </w:r>
            <w:r>
              <w:rPr>
                <w:rFonts w:hint="default" w:ascii="楷体" w:hAnsi="楷体" w:eastAsia="楷体" w:cs="楷体"/>
                <w:color w:val="auto"/>
                <w:kern w:val="0"/>
                <w:sz w:val="24"/>
                <w:szCs w:val="24"/>
                <w:highlight w:val="none"/>
                <w:lang w:val="en-US" w:eastAsia="zh-CN" w:bidi="ar"/>
              </w:rPr>
              <w:t>本机关不掌握相关政府信息</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2.</w:t>
            </w:r>
            <w:r>
              <w:rPr>
                <w:rFonts w:hint="default" w:ascii="楷体" w:hAnsi="楷体" w:eastAsia="楷体" w:cs="楷体"/>
                <w:color w:val="auto"/>
                <w:kern w:val="0"/>
                <w:sz w:val="24"/>
                <w:szCs w:val="24"/>
                <w:highlight w:val="none"/>
                <w:lang w:val="en-US" w:eastAsia="zh-CN" w:bidi="ar"/>
              </w:rPr>
              <w:t>没有现成信息需要另行制作</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3.</w:t>
            </w:r>
            <w:r>
              <w:rPr>
                <w:rFonts w:hint="default" w:ascii="楷体" w:hAnsi="楷体" w:eastAsia="楷体" w:cs="楷体"/>
                <w:color w:val="auto"/>
                <w:kern w:val="0"/>
                <w:sz w:val="24"/>
                <w:szCs w:val="24"/>
                <w:highlight w:val="none"/>
                <w:lang w:val="en-US" w:eastAsia="zh-CN" w:bidi="ar"/>
              </w:rPr>
              <w:t>补正后申请内容仍不明确</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楷体" w:hAnsi="楷体" w:eastAsia="楷体" w:cs="楷体"/>
                <w:color w:val="auto"/>
                <w:kern w:val="0"/>
                <w:sz w:val="24"/>
                <w:szCs w:val="24"/>
                <w:highlight w:val="none"/>
                <w:lang w:val="en-US" w:eastAsia="zh-CN" w:bidi="ar"/>
              </w:rPr>
              <w:t>（五）不予处理</w:t>
            </w: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1.</w:t>
            </w:r>
            <w:r>
              <w:rPr>
                <w:rFonts w:hint="default" w:ascii="楷体" w:hAnsi="楷体" w:eastAsia="楷体" w:cs="楷体"/>
                <w:color w:val="auto"/>
                <w:kern w:val="0"/>
                <w:sz w:val="24"/>
                <w:szCs w:val="24"/>
                <w:highlight w:val="none"/>
                <w:lang w:val="en-US" w:eastAsia="zh-CN" w:bidi="ar"/>
              </w:rPr>
              <w:t>信访举报投诉类申请</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2.</w:t>
            </w:r>
            <w:r>
              <w:rPr>
                <w:rFonts w:hint="default" w:ascii="楷体" w:hAnsi="楷体" w:eastAsia="楷体" w:cs="楷体"/>
                <w:color w:val="auto"/>
                <w:kern w:val="0"/>
                <w:sz w:val="24"/>
                <w:szCs w:val="24"/>
                <w:highlight w:val="none"/>
                <w:lang w:val="en-US" w:eastAsia="zh-CN" w:bidi="ar"/>
              </w:rPr>
              <w:t>重复申请</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3.</w:t>
            </w:r>
            <w:r>
              <w:rPr>
                <w:rFonts w:hint="default" w:ascii="楷体" w:hAnsi="楷体" w:eastAsia="楷体" w:cs="楷体"/>
                <w:color w:val="auto"/>
                <w:kern w:val="0"/>
                <w:sz w:val="24"/>
                <w:szCs w:val="24"/>
                <w:highlight w:val="none"/>
                <w:lang w:val="en-US" w:eastAsia="zh-CN" w:bidi="ar"/>
              </w:rPr>
              <w:t>要求提供公开出版物</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4.</w:t>
            </w:r>
            <w:r>
              <w:rPr>
                <w:rFonts w:hint="default" w:ascii="楷体" w:hAnsi="楷体" w:eastAsia="楷体" w:cs="楷体"/>
                <w:color w:val="auto"/>
                <w:kern w:val="0"/>
                <w:sz w:val="24"/>
                <w:szCs w:val="24"/>
                <w:highlight w:val="none"/>
                <w:lang w:val="en-US" w:eastAsia="zh-CN" w:bidi="ar"/>
              </w:rPr>
              <w:t>无正当理由大量反复申请</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5.</w:t>
            </w:r>
            <w:r>
              <w:rPr>
                <w:rFonts w:hint="default" w:ascii="楷体" w:hAnsi="楷体" w:eastAsia="楷体" w:cs="楷体"/>
                <w:color w:val="auto"/>
                <w:kern w:val="0"/>
                <w:sz w:val="24"/>
                <w:szCs w:val="24"/>
                <w:highlight w:val="none"/>
                <w:lang w:val="en-US" w:eastAsia="zh-CN" w:bidi="ar"/>
              </w:rPr>
              <w:t>要求行政机关确认或重新出具已获取信息</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楷体" w:hAnsi="楷体" w:eastAsia="楷体" w:cs="楷体"/>
                <w:color w:val="auto"/>
                <w:kern w:val="0"/>
                <w:sz w:val="24"/>
                <w:szCs w:val="24"/>
                <w:highlight w:val="none"/>
                <w:lang w:val="en-US" w:eastAsia="zh-CN" w:bidi="ar"/>
              </w:rPr>
              <w:t>（六）其他处理</w:t>
            </w:r>
          </w:p>
        </w:tc>
        <w:tc>
          <w:tcPr>
            <w:tcW w:w="3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1.</w:t>
            </w:r>
            <w:r>
              <w:rPr>
                <w:rFonts w:hint="default" w:ascii="楷体" w:hAnsi="楷体" w:eastAsia="楷体" w:cs="楷体"/>
                <w:color w:val="auto"/>
                <w:kern w:val="0"/>
                <w:sz w:val="24"/>
                <w:szCs w:val="24"/>
                <w:highlight w:val="none"/>
                <w:lang w:val="en-US" w:eastAsia="zh-CN" w:bidi="ar"/>
              </w:rPr>
              <w:t>申请人无正当理由逾期不补正、行政机关不再处理其政府信息公开申请</w:t>
            </w:r>
          </w:p>
        </w:tc>
        <w:tc>
          <w:tcPr>
            <w:tcW w:w="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2.</w:t>
            </w:r>
            <w:r>
              <w:rPr>
                <w:rFonts w:hint="default" w:ascii="楷体" w:hAnsi="楷体" w:eastAsia="楷体" w:cs="楷体"/>
                <w:color w:val="auto"/>
                <w:kern w:val="0"/>
                <w:sz w:val="24"/>
                <w:szCs w:val="24"/>
                <w:highlight w:val="none"/>
                <w:lang w:val="en-US" w:eastAsia="zh-CN" w:bidi="ar"/>
              </w:rPr>
              <w:t>申请人逾期未按收费通知要求缴纳费用、行政机关不再处理其政府信息公开申请</w:t>
            </w:r>
          </w:p>
        </w:tc>
        <w:tc>
          <w:tcPr>
            <w:tcW w:w="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leftChars="0" w:right="0" w:rightChars="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82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3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3.</w:t>
            </w:r>
            <w:r>
              <w:rPr>
                <w:rFonts w:hint="default" w:ascii="楷体" w:hAnsi="楷体" w:eastAsia="楷体" w:cs="楷体"/>
                <w:color w:val="auto"/>
                <w:kern w:val="0"/>
                <w:sz w:val="24"/>
                <w:szCs w:val="24"/>
                <w:highlight w:val="none"/>
                <w:lang w:val="en-US" w:eastAsia="zh-CN" w:bidi="ar"/>
              </w:rPr>
              <w:t>其他</w:t>
            </w:r>
          </w:p>
        </w:tc>
        <w:tc>
          <w:tcPr>
            <w:tcW w:w="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6" w:hRule="atLeast"/>
          <w:jc w:val="center"/>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4"/>
                <w:szCs w:val="24"/>
                <w:highlight w:val="none"/>
              </w:rPr>
            </w:pPr>
          </w:p>
        </w:tc>
        <w:tc>
          <w:tcPr>
            <w:tcW w:w="401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default" w:ascii="楷体" w:hAnsi="楷体" w:eastAsia="楷体" w:cs="楷体"/>
                <w:color w:val="auto"/>
                <w:kern w:val="0"/>
                <w:sz w:val="24"/>
                <w:szCs w:val="24"/>
                <w:highlight w:val="none"/>
                <w:lang w:val="en-US" w:eastAsia="zh-CN" w:bidi="ar"/>
              </w:rPr>
              <w:t>（七）总计</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eastAsia" w:ascii="Times New Roman" w:hAnsi="Times New Roman" w:cs="Times New Roman"/>
                <w:color w:val="auto"/>
                <w:kern w:val="0"/>
                <w:sz w:val="24"/>
                <w:szCs w:val="24"/>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1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四、结转下年度继续办理</w:t>
            </w:r>
          </w:p>
        </w:tc>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eastAsia="宋体" w:cs="Times New Roman"/>
                <w:color w:val="auto"/>
                <w:kern w:val="0"/>
                <w:sz w:val="24"/>
                <w:szCs w:val="24"/>
                <w:highlight w:val="none"/>
                <w:lang w:val="en-US" w:eastAsia="zh-CN" w:bidi="ar"/>
              </w:rPr>
              <w:t>0</w:t>
            </w:r>
          </w:p>
        </w:tc>
        <w:tc>
          <w:tcPr>
            <w:tcW w:w="8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cs="Times New Roman" w:eastAsiaTheme="minorEastAsia"/>
                <w:color w:val="auto"/>
                <w:kern w:val="0"/>
                <w:sz w:val="24"/>
                <w:szCs w:val="24"/>
                <w:highlight w:val="none"/>
                <w:lang w:val="en-US" w:eastAsia="zh-CN" w:bidi="ar"/>
              </w:rPr>
              <w:t>0</w:t>
            </w:r>
          </w:p>
        </w:tc>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highlight w:val="none"/>
              </w:rPr>
            </w:pPr>
            <w:r>
              <w:rPr>
                <w:rFonts w:hint="default" w:ascii="Times New Roman" w:hAnsi="Times New Roman" w:eastAsia="宋体" w:cs="Times New Roman"/>
                <w:color w:val="auto"/>
                <w:kern w:val="0"/>
                <w:sz w:val="24"/>
                <w:szCs w:val="24"/>
                <w:highlight w:val="none"/>
                <w:lang w:val="en-US" w:eastAsia="zh-CN" w:bidi="ar"/>
              </w:rPr>
              <w:t>0</w:t>
            </w:r>
          </w:p>
        </w:tc>
      </w:tr>
    </w:tbl>
    <w:p>
      <w:pPr>
        <w:widowControl/>
        <w:pBdr>
          <w:top w:val="none" w:color="auto" w:sz="0" w:space="0"/>
          <w:left w:val="none" w:color="auto" w:sz="0" w:space="0"/>
          <w:bottom w:val="none" w:color="auto" w:sz="0" w:space="0"/>
          <w:right w:val="none" w:color="auto" w:sz="0" w:space="0"/>
        </w:pBdr>
        <w:spacing w:beforeAutospacing="0" w:after="0" w:afterAutospacing="0" w:line="560" w:lineRule="atLeast"/>
        <w:ind w:right="0" w:firstLine="640" w:firstLineChars="200"/>
        <w:jc w:val="left"/>
        <w:rPr>
          <w:color w:val="auto"/>
          <w:highlight w:val="none"/>
        </w:rPr>
      </w:pPr>
      <w:r>
        <w:rPr>
          <w:rFonts w:hint="default" w:ascii="黑体" w:hAnsi="宋体" w:eastAsia="黑体" w:cs="黑体"/>
          <w:i w:val="0"/>
          <w:caps w:val="0"/>
          <w:color w:val="auto"/>
          <w:spacing w:val="0"/>
          <w:kern w:val="0"/>
          <w:sz w:val="32"/>
          <w:szCs w:val="32"/>
          <w:highlight w:val="none"/>
          <w:u w:val="none"/>
          <w:lang w:val="en-US" w:eastAsia="zh-CN" w:bidi="ar"/>
        </w:rPr>
        <w:t>四、政府信息公开行政复议、行政诉讼情况</w:t>
      </w:r>
    </w:p>
    <w:tbl>
      <w:tblPr>
        <w:tblStyle w:val="9"/>
        <w:tblW w:w="9427"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5"/>
        <w:gridCol w:w="695"/>
        <w:gridCol w:w="695"/>
        <w:gridCol w:w="697"/>
        <w:gridCol w:w="360"/>
        <w:gridCol w:w="729"/>
        <w:gridCol w:w="729"/>
        <w:gridCol w:w="729"/>
        <w:gridCol w:w="729"/>
        <w:gridCol w:w="396"/>
        <w:gridCol w:w="657"/>
        <w:gridCol w:w="657"/>
        <w:gridCol w:w="657"/>
        <w:gridCol w:w="657"/>
        <w:gridCol w:w="3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14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行政复议</w:t>
            </w:r>
          </w:p>
        </w:tc>
        <w:tc>
          <w:tcPr>
            <w:tcW w:w="6285"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结果维持</w:t>
            </w:r>
          </w:p>
        </w:tc>
        <w:tc>
          <w:tcPr>
            <w:tcW w:w="69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结果纠正</w:t>
            </w:r>
          </w:p>
        </w:tc>
        <w:tc>
          <w:tcPr>
            <w:tcW w:w="695"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其他结果</w:t>
            </w:r>
          </w:p>
        </w:tc>
        <w:tc>
          <w:tcPr>
            <w:tcW w:w="69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尚未审结</w:t>
            </w:r>
          </w:p>
        </w:tc>
        <w:tc>
          <w:tcPr>
            <w:tcW w:w="36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总计</w:t>
            </w:r>
          </w:p>
        </w:tc>
        <w:tc>
          <w:tcPr>
            <w:tcW w:w="331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未经复议直接起诉</w:t>
            </w:r>
          </w:p>
        </w:tc>
        <w:tc>
          <w:tcPr>
            <w:tcW w:w="297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1"/>
                <w:szCs w:val="21"/>
                <w:highlight w:val="none"/>
              </w:rPr>
            </w:pPr>
          </w:p>
        </w:tc>
        <w:tc>
          <w:tcPr>
            <w:tcW w:w="69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1"/>
                <w:szCs w:val="21"/>
                <w:highlight w:val="none"/>
              </w:rPr>
            </w:pPr>
          </w:p>
        </w:tc>
        <w:tc>
          <w:tcPr>
            <w:tcW w:w="695"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1"/>
                <w:szCs w:val="21"/>
                <w:highlight w:val="none"/>
              </w:rPr>
            </w:pPr>
          </w:p>
        </w:tc>
        <w:tc>
          <w:tcPr>
            <w:tcW w:w="6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1"/>
                <w:szCs w:val="21"/>
                <w:highlight w:val="none"/>
              </w:rPr>
            </w:pPr>
          </w:p>
        </w:tc>
        <w:tc>
          <w:tcPr>
            <w:tcW w:w="36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宋体"/>
                <w:color w:val="auto"/>
                <w:sz w:val="21"/>
                <w:szCs w:val="21"/>
                <w:highlight w:val="none"/>
              </w:rPr>
            </w:pP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结果维持</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结果纠正</w:t>
            </w:r>
          </w:p>
        </w:tc>
        <w:tc>
          <w:tcPr>
            <w:tcW w:w="7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其他结果</w:t>
            </w:r>
          </w:p>
        </w:tc>
        <w:tc>
          <w:tcPr>
            <w:tcW w:w="7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尚未审结</w:t>
            </w:r>
          </w:p>
        </w:tc>
        <w:tc>
          <w:tcPr>
            <w:tcW w:w="39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总计</w:t>
            </w:r>
          </w:p>
        </w:tc>
        <w:tc>
          <w:tcPr>
            <w:tcW w:w="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结果维持</w:t>
            </w:r>
          </w:p>
        </w:tc>
        <w:tc>
          <w:tcPr>
            <w:tcW w:w="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结果纠正</w:t>
            </w:r>
          </w:p>
        </w:tc>
        <w:tc>
          <w:tcPr>
            <w:tcW w:w="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其他结果</w:t>
            </w:r>
          </w:p>
        </w:tc>
        <w:tc>
          <w:tcPr>
            <w:tcW w:w="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尚未审结</w:t>
            </w:r>
          </w:p>
        </w:tc>
        <w:tc>
          <w:tcPr>
            <w:tcW w:w="3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left"/>
              <w:textAlignment w:val="auto"/>
              <w:outlineLvl w:val="9"/>
              <w:rPr>
                <w:color w:val="auto"/>
                <w:sz w:val="21"/>
                <w:szCs w:val="21"/>
                <w:highlight w:val="none"/>
              </w:rPr>
            </w:pPr>
            <w:r>
              <w:rPr>
                <w:rFonts w:hint="eastAsia" w:ascii="宋体" w:hAnsi="宋体" w:eastAsia="宋体" w:cs="宋体"/>
                <w:color w:val="auto"/>
                <w:kern w:val="0"/>
                <w:sz w:val="21"/>
                <w:szCs w:val="21"/>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c>
          <w:tcPr>
            <w:tcW w:w="6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c>
          <w:tcPr>
            <w:tcW w:w="6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0</w:t>
            </w:r>
          </w:p>
        </w:tc>
        <w:tc>
          <w:tcPr>
            <w:tcW w:w="6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0</w:t>
            </w:r>
          </w:p>
        </w:tc>
        <w:tc>
          <w:tcPr>
            <w:tcW w:w="3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c>
          <w:tcPr>
            <w:tcW w:w="3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c>
          <w:tcPr>
            <w:tcW w:w="6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0</w:t>
            </w:r>
          </w:p>
        </w:tc>
        <w:tc>
          <w:tcPr>
            <w:tcW w:w="6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0</w:t>
            </w:r>
          </w:p>
        </w:tc>
        <w:tc>
          <w:tcPr>
            <w:tcW w:w="6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0</w:t>
            </w:r>
          </w:p>
        </w:tc>
        <w:tc>
          <w:tcPr>
            <w:tcW w:w="6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c>
          <w:tcPr>
            <w:tcW w:w="3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ind w:left="0" w:right="0"/>
              <w:jc w:val="center"/>
              <w:textAlignment w:val="auto"/>
              <w:outlineLvl w:val="9"/>
              <w:rPr>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0</w:t>
            </w:r>
          </w:p>
        </w:tc>
      </w:tr>
    </w:tbl>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9"/>
        <w:rPr>
          <w:rFonts w:hint="default" w:ascii="黑体" w:hAnsi="宋体" w:eastAsia="黑体" w:cs="黑体"/>
          <w:i w:val="0"/>
          <w:caps w:val="0"/>
          <w:color w:val="auto"/>
          <w:spacing w:val="0"/>
          <w:kern w:val="0"/>
          <w:sz w:val="32"/>
          <w:szCs w:val="32"/>
          <w:highlight w:val="none"/>
          <w:u w:val="none"/>
          <w:lang w:val="en-US" w:eastAsia="zh-CN" w:bidi="ar"/>
        </w:rPr>
      </w:pPr>
      <w:r>
        <w:rPr>
          <w:rFonts w:hint="default" w:ascii="黑体" w:hAnsi="宋体" w:eastAsia="黑体" w:cs="黑体"/>
          <w:i w:val="0"/>
          <w:caps w:val="0"/>
          <w:color w:val="auto"/>
          <w:spacing w:val="0"/>
          <w:kern w:val="0"/>
          <w:sz w:val="32"/>
          <w:szCs w:val="32"/>
          <w:highlight w:val="none"/>
          <w:u w:val="none"/>
          <w:lang w:val="en-US" w:eastAsia="zh-CN" w:bidi="ar"/>
        </w:rPr>
        <w:t>五、存在的主要问题及改进情况</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firstLine="640" w:firstLineChars="200"/>
        <w:jc w:val="left"/>
        <w:textAlignment w:val="auto"/>
        <w:outlineLvl w:val="9"/>
        <w:rPr>
          <w:rFonts w:hint="default" w:ascii="仿宋" w:hAnsi="仿宋" w:eastAsia="仿宋" w:cs="仿宋"/>
          <w:i w:val="0"/>
          <w:caps w:val="0"/>
          <w:color w:val="auto"/>
          <w:spacing w:val="0"/>
          <w:sz w:val="32"/>
          <w:szCs w:val="32"/>
          <w:highlight w:val="none"/>
          <w:u w:val="none"/>
          <w:shd w:val="clear" w:fill="FFFFFF"/>
        </w:rPr>
      </w:pPr>
      <w:r>
        <w:rPr>
          <w:rFonts w:hint="eastAsia" w:ascii="仿宋_GB2312" w:hAnsi="Times New Roman" w:eastAsia="仿宋_GB2312" w:cs="仿宋_GB2312"/>
          <w:i w:val="0"/>
          <w:caps w:val="0"/>
          <w:color w:val="auto"/>
          <w:spacing w:val="0"/>
          <w:kern w:val="0"/>
          <w:sz w:val="32"/>
          <w:szCs w:val="32"/>
          <w:highlight w:val="none"/>
          <w:u w:val="none"/>
          <w:lang w:val="en-US" w:eastAsia="zh-CN" w:bidi="ar"/>
        </w:rPr>
        <w:t>我局存在主动公开信息不全面，法规政策宣传不及时，干部沟通、</w:t>
      </w:r>
      <w:r>
        <w:rPr>
          <w:rFonts w:hint="default" w:ascii="仿宋_GB2312" w:hAnsi="Times New Roman" w:eastAsia="仿宋_GB2312" w:cs="仿宋_GB2312"/>
          <w:i w:val="0"/>
          <w:caps w:val="0"/>
          <w:color w:val="auto"/>
          <w:spacing w:val="0"/>
          <w:kern w:val="0"/>
          <w:sz w:val="32"/>
          <w:szCs w:val="32"/>
          <w:highlight w:val="none"/>
          <w:u w:val="none"/>
          <w:lang w:val="en-US" w:eastAsia="zh-CN" w:bidi="ar"/>
        </w:rPr>
        <w:t>实操水平有待于进一步提高</w:t>
      </w:r>
      <w:r>
        <w:rPr>
          <w:rFonts w:hint="eastAsia" w:ascii="仿宋_GB2312" w:hAnsi="Times New Roman" w:eastAsia="仿宋_GB2312" w:cs="仿宋_GB2312"/>
          <w:i w:val="0"/>
          <w:caps w:val="0"/>
          <w:color w:val="auto"/>
          <w:spacing w:val="0"/>
          <w:kern w:val="0"/>
          <w:sz w:val="32"/>
          <w:szCs w:val="32"/>
          <w:highlight w:val="none"/>
          <w:u w:val="none"/>
          <w:lang w:val="en-US" w:eastAsia="zh-CN" w:bidi="ar"/>
        </w:rPr>
        <w:t>等问题</w:t>
      </w:r>
      <w:r>
        <w:rPr>
          <w:rFonts w:hint="default" w:ascii="仿宋_GB2312" w:hAnsi="Times New Roman" w:eastAsia="仿宋_GB2312" w:cs="仿宋_GB2312"/>
          <w:i w:val="0"/>
          <w:caps w:val="0"/>
          <w:color w:val="auto"/>
          <w:spacing w:val="0"/>
          <w:kern w:val="0"/>
          <w:sz w:val="32"/>
          <w:szCs w:val="32"/>
          <w:highlight w:val="none"/>
          <w:u w:val="none"/>
          <w:lang w:val="en-US" w:eastAsia="zh-CN" w:bidi="ar"/>
        </w:rPr>
        <w:t>。</w:t>
      </w:r>
      <w:r>
        <w:rPr>
          <w:rFonts w:hint="default" w:ascii="Times New Roman" w:hAnsi="Times New Roman" w:eastAsia="微软雅黑" w:cs="Times New Roman"/>
          <w:i w:val="0"/>
          <w:caps w:val="0"/>
          <w:color w:val="auto"/>
          <w:spacing w:val="0"/>
          <w:kern w:val="0"/>
          <w:sz w:val="32"/>
          <w:szCs w:val="32"/>
          <w:highlight w:val="none"/>
          <w:u w:val="none"/>
          <w:lang w:val="en-US" w:eastAsia="zh-CN" w:bidi="ar"/>
        </w:rPr>
        <w:t>2023</w:t>
      </w:r>
      <w:r>
        <w:rPr>
          <w:rFonts w:hint="default" w:ascii="仿宋_GB2312" w:hAnsi="Times New Roman" w:eastAsia="仿宋_GB2312" w:cs="仿宋_GB2312"/>
          <w:i w:val="0"/>
          <w:caps w:val="0"/>
          <w:color w:val="auto"/>
          <w:spacing w:val="0"/>
          <w:kern w:val="0"/>
          <w:sz w:val="32"/>
          <w:szCs w:val="32"/>
          <w:highlight w:val="none"/>
          <w:u w:val="none"/>
          <w:lang w:val="en-US" w:eastAsia="zh-CN" w:bidi="ar"/>
        </w:rPr>
        <w:t>年，</w:t>
      </w:r>
      <w:r>
        <w:rPr>
          <w:rFonts w:hint="eastAsia" w:ascii="仿宋_GB2312" w:hAnsi="Times New Roman" w:eastAsia="仿宋_GB2312" w:cs="仿宋_GB2312"/>
          <w:i w:val="0"/>
          <w:caps w:val="0"/>
          <w:color w:val="auto"/>
          <w:spacing w:val="0"/>
          <w:kern w:val="0"/>
          <w:sz w:val="32"/>
          <w:szCs w:val="32"/>
          <w:highlight w:val="none"/>
          <w:u w:val="none"/>
          <w:lang w:val="en-US" w:eastAsia="zh-CN" w:bidi="ar"/>
        </w:rPr>
        <w:t>我局</w:t>
      </w:r>
      <w:r>
        <w:rPr>
          <w:rFonts w:hint="default" w:ascii="仿宋_GB2312" w:hAnsi="Times New Roman" w:eastAsia="仿宋_GB2312" w:cs="仿宋_GB2312"/>
          <w:i w:val="0"/>
          <w:caps w:val="0"/>
          <w:color w:val="auto"/>
          <w:spacing w:val="0"/>
          <w:kern w:val="0"/>
          <w:sz w:val="32"/>
          <w:szCs w:val="32"/>
          <w:highlight w:val="none"/>
          <w:u w:val="none"/>
          <w:lang w:val="en-US" w:eastAsia="zh-CN" w:bidi="ar"/>
        </w:rPr>
        <w:t>将认真梳理信息</w:t>
      </w:r>
      <w:r>
        <w:rPr>
          <w:rFonts w:hint="default" w:ascii="仿宋_GB2312" w:hAnsi="微软雅黑" w:eastAsia="仿宋_GB2312" w:cs="仿宋_GB2312"/>
          <w:i w:val="0"/>
          <w:caps w:val="0"/>
          <w:color w:val="auto"/>
          <w:spacing w:val="0"/>
          <w:kern w:val="0"/>
          <w:sz w:val="32"/>
          <w:szCs w:val="32"/>
          <w:highlight w:val="none"/>
          <w:u w:val="none"/>
          <w:lang w:val="en-US" w:eastAsia="zh-CN" w:bidi="ar"/>
        </w:rPr>
        <w:t>公开</w:t>
      </w:r>
      <w:r>
        <w:rPr>
          <w:rFonts w:hint="default" w:ascii="仿宋_GB2312" w:hAnsi="Times New Roman" w:eastAsia="仿宋_GB2312" w:cs="仿宋_GB2312"/>
          <w:i w:val="0"/>
          <w:caps w:val="0"/>
          <w:color w:val="auto"/>
          <w:spacing w:val="0"/>
          <w:kern w:val="0"/>
          <w:sz w:val="32"/>
          <w:szCs w:val="32"/>
          <w:highlight w:val="none"/>
          <w:u w:val="none"/>
          <w:lang w:val="en-US" w:eastAsia="zh-CN" w:bidi="ar"/>
        </w:rPr>
        <w:t>目录内容，</w:t>
      </w:r>
      <w:r>
        <w:rPr>
          <w:rFonts w:hint="default" w:ascii="仿宋" w:hAnsi="仿宋" w:eastAsia="仿宋" w:cs="仿宋"/>
          <w:i w:val="0"/>
          <w:caps w:val="0"/>
          <w:color w:val="auto"/>
          <w:spacing w:val="0"/>
          <w:sz w:val="32"/>
          <w:szCs w:val="32"/>
          <w:highlight w:val="none"/>
          <w:u w:val="none"/>
          <w:shd w:val="clear" w:fill="FFFFFF"/>
        </w:rPr>
        <w:t>查漏补缺、补齐短板，</w:t>
      </w:r>
      <w:r>
        <w:rPr>
          <w:rFonts w:hint="default" w:ascii="仿宋_GB2312" w:hAnsi="Times New Roman" w:eastAsia="仿宋_GB2312" w:cs="仿宋_GB2312"/>
          <w:i w:val="0"/>
          <w:caps w:val="0"/>
          <w:color w:val="auto"/>
          <w:spacing w:val="0"/>
          <w:kern w:val="0"/>
          <w:sz w:val="32"/>
          <w:szCs w:val="32"/>
          <w:highlight w:val="none"/>
          <w:u w:val="none"/>
          <w:lang w:val="en-US" w:eastAsia="zh-CN" w:bidi="ar"/>
        </w:rPr>
        <w:t>大力推行政务公开，</w:t>
      </w:r>
      <w:r>
        <w:rPr>
          <w:rFonts w:hint="default" w:ascii="仿宋" w:hAnsi="仿宋" w:eastAsia="仿宋" w:cs="仿宋"/>
          <w:i w:val="0"/>
          <w:caps w:val="0"/>
          <w:color w:val="auto"/>
          <w:spacing w:val="0"/>
          <w:sz w:val="32"/>
          <w:szCs w:val="32"/>
          <w:highlight w:val="none"/>
          <w:u w:val="none"/>
          <w:shd w:val="clear" w:fill="FFFFFF"/>
        </w:rPr>
        <w:t>持续推进政府信息公开，规范依申请公开答复</w:t>
      </w:r>
      <w:r>
        <w:rPr>
          <w:rFonts w:hint="eastAsia" w:ascii="仿宋" w:hAnsi="仿宋" w:eastAsia="仿宋" w:cs="仿宋"/>
          <w:i w:val="0"/>
          <w:caps w:val="0"/>
          <w:color w:val="auto"/>
          <w:spacing w:val="0"/>
          <w:sz w:val="32"/>
          <w:szCs w:val="32"/>
          <w:highlight w:val="none"/>
          <w:u w:val="none"/>
          <w:shd w:val="clear" w:fill="FFFFFF"/>
          <w:lang w:eastAsia="zh-CN"/>
        </w:rPr>
        <w:t>，</w:t>
      </w:r>
      <w:r>
        <w:rPr>
          <w:rFonts w:hint="default" w:ascii="仿宋" w:hAnsi="仿宋" w:eastAsia="仿宋" w:cs="仿宋"/>
          <w:i w:val="0"/>
          <w:caps w:val="0"/>
          <w:color w:val="auto"/>
          <w:spacing w:val="0"/>
          <w:sz w:val="32"/>
          <w:szCs w:val="32"/>
          <w:highlight w:val="none"/>
          <w:u w:val="none"/>
          <w:shd w:val="clear" w:fill="FFFFFF"/>
        </w:rPr>
        <w:t>以更加务实有效举措提升政务公开质量和水平。</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9"/>
        <w:rPr>
          <w:color w:val="auto"/>
          <w:sz w:val="32"/>
          <w:szCs w:val="32"/>
          <w:highlight w:val="none"/>
        </w:rPr>
      </w:pPr>
      <w:r>
        <w:rPr>
          <w:rFonts w:hint="default" w:ascii="黑体" w:hAnsi="宋体" w:eastAsia="黑体" w:cs="黑体"/>
          <w:i w:val="0"/>
          <w:caps w:val="0"/>
          <w:color w:val="auto"/>
          <w:spacing w:val="0"/>
          <w:kern w:val="0"/>
          <w:sz w:val="32"/>
          <w:szCs w:val="32"/>
          <w:highlight w:val="none"/>
          <w:u w:val="none"/>
          <w:lang w:val="en-US" w:eastAsia="zh-CN" w:bidi="ar"/>
        </w:rPr>
        <w:t>六、其他需要报告的事项</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9"/>
        <w:rPr>
          <w:rFonts w:hint="eastAsia" w:ascii="仿宋" w:hAnsi="仿宋" w:eastAsia="仿宋" w:cs="仿宋"/>
          <w:i w:val="0"/>
          <w:caps w:val="0"/>
          <w:color w:val="auto"/>
          <w:spacing w:val="0"/>
          <w:sz w:val="32"/>
          <w:szCs w:val="32"/>
          <w:highlight w:val="none"/>
          <w:u w:val="none"/>
          <w:shd w:val="clear" w:fill="FFFFFF"/>
          <w:lang w:val="en-US" w:eastAsia="zh-CN"/>
        </w:rPr>
      </w:pPr>
      <w:r>
        <w:rPr>
          <w:rFonts w:hint="eastAsia" w:ascii="仿宋" w:hAnsi="仿宋" w:eastAsia="仿宋" w:cs="仿宋"/>
          <w:i w:val="0"/>
          <w:caps w:val="0"/>
          <w:color w:val="auto"/>
          <w:spacing w:val="0"/>
          <w:sz w:val="32"/>
          <w:szCs w:val="32"/>
          <w:highlight w:val="none"/>
          <w:u w:val="none"/>
          <w:shd w:val="clear" w:fill="FFFFFF"/>
          <w:lang w:val="en-US" w:eastAsia="zh-CN"/>
        </w:rPr>
        <w:t>2022年我局未收取信息处理费。发出收费通知的件数和总金额，以及实际收取的总金额均为0，未出台规范性文件。</w:t>
      </w:r>
    </w:p>
    <w:p>
      <w:pPr>
        <w:pStyle w:val="2"/>
        <w:keepNext w:val="0"/>
        <w:keepLines w:val="0"/>
        <w:pageBreakBefore w:val="0"/>
        <w:kinsoku/>
        <w:wordWrap/>
        <w:overflowPunct/>
        <w:topLinePunct w:val="0"/>
        <w:autoSpaceDE/>
        <w:autoSpaceDN/>
        <w:bidi w:val="0"/>
        <w:adjustRightInd/>
        <w:snapToGrid/>
        <w:spacing w:after="0" w:afterLines="0" w:line="540" w:lineRule="exact"/>
        <w:ind w:left="0" w:leftChars="0"/>
        <w:textAlignment w:val="auto"/>
        <w:outlineLvl w:val="9"/>
        <w:rPr>
          <w:rFonts w:hint="eastAsia" w:ascii="仿宋" w:hAnsi="仿宋" w:eastAsia="仿宋" w:cs="仿宋"/>
          <w:i w:val="0"/>
          <w:caps w:val="0"/>
          <w:color w:val="auto"/>
          <w:spacing w:val="0"/>
          <w:sz w:val="32"/>
          <w:szCs w:val="32"/>
          <w:highlight w:val="none"/>
          <w:u w:val="none"/>
          <w:shd w:val="clear" w:fill="FFFFFF"/>
          <w:lang w:val="en-US" w:eastAsia="zh-CN"/>
        </w:rPr>
      </w:pPr>
    </w:p>
    <w:p>
      <w:pPr>
        <w:pStyle w:val="3"/>
        <w:keepNext w:val="0"/>
        <w:keepLines w:val="0"/>
        <w:pageBreakBefore w:val="0"/>
        <w:kinsoku/>
        <w:wordWrap/>
        <w:overflowPunct/>
        <w:topLinePunct w:val="0"/>
        <w:autoSpaceDE/>
        <w:autoSpaceDN/>
        <w:bidi w:val="0"/>
        <w:adjustRightInd/>
        <w:snapToGrid/>
        <w:spacing w:after="0" w:afterLines="0" w:line="540" w:lineRule="exact"/>
        <w:ind w:left="0" w:leftChars="0" w:firstLine="3158" w:firstLineChars="987"/>
        <w:jc w:val="center"/>
        <w:textAlignment w:val="auto"/>
        <w:outlineLvl w:val="9"/>
        <w:rPr>
          <w:rFonts w:hint="eastAsia" w:ascii="仿宋" w:hAnsi="仿宋" w:eastAsia="仿宋" w:cs="仿宋"/>
          <w:i w:val="0"/>
          <w:caps w:val="0"/>
          <w:color w:val="auto"/>
          <w:spacing w:val="0"/>
          <w:sz w:val="32"/>
          <w:szCs w:val="32"/>
          <w:highlight w:val="none"/>
          <w:u w:val="none"/>
          <w:shd w:val="clear" w:fill="FFFFFF"/>
          <w:lang w:val="en-US" w:eastAsia="zh-CN"/>
        </w:rPr>
      </w:pPr>
      <w:r>
        <w:rPr>
          <w:rFonts w:hint="eastAsia" w:ascii="仿宋" w:hAnsi="仿宋" w:eastAsia="仿宋" w:cs="仿宋"/>
          <w:i w:val="0"/>
          <w:caps w:val="0"/>
          <w:color w:val="auto"/>
          <w:spacing w:val="0"/>
          <w:sz w:val="32"/>
          <w:szCs w:val="32"/>
          <w:highlight w:val="none"/>
          <w:u w:val="none"/>
          <w:shd w:val="clear" w:fill="FFFFFF"/>
          <w:lang w:val="en-US" w:eastAsia="zh-CN"/>
        </w:rPr>
        <w:t>和田地区自然资源局</w:t>
      </w:r>
    </w:p>
    <w:p>
      <w:pPr>
        <w:pStyle w:val="4"/>
        <w:keepNext w:val="0"/>
        <w:keepLines w:val="0"/>
        <w:pageBreakBefore w:val="0"/>
        <w:kinsoku/>
        <w:wordWrap/>
        <w:overflowPunct/>
        <w:topLinePunct w:val="0"/>
        <w:autoSpaceDE/>
        <w:autoSpaceDN/>
        <w:bidi w:val="0"/>
        <w:adjustRightInd/>
        <w:snapToGrid/>
        <w:spacing w:line="540" w:lineRule="exact"/>
        <w:ind w:left="0" w:leftChars="0" w:firstLine="3158" w:firstLineChars="987"/>
        <w:jc w:val="center"/>
        <w:textAlignment w:val="auto"/>
        <w:outlineLvl w:val="9"/>
      </w:pPr>
      <w:r>
        <w:rPr>
          <w:rFonts w:hint="eastAsia" w:ascii="仿宋" w:hAnsi="仿宋" w:cs="仿宋"/>
          <w:i w:val="0"/>
          <w:caps w:val="0"/>
          <w:color w:val="auto"/>
          <w:spacing w:val="0"/>
          <w:sz w:val="32"/>
          <w:szCs w:val="32"/>
          <w:highlight w:val="none"/>
          <w:u w:val="none"/>
          <w:shd w:val="clear" w:fill="FFFFFF"/>
          <w:lang w:val="en-US" w:eastAsia="zh-CN"/>
        </w:rPr>
        <w:t>2023年1月30日</w:t>
      </w:r>
    </w:p>
    <w:p>
      <w:pPr>
        <w:pStyle w:val="3"/>
        <w:rPr>
          <w:rFonts w:hint="default"/>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YzhhMDM1NGVmYzk4Y2EwMWNhOTFmZTFiYmMzODQifQ=="/>
  </w:docVars>
  <w:rsids>
    <w:rsidRoot w:val="4D44159F"/>
    <w:rsid w:val="0A843B94"/>
    <w:rsid w:val="0BC06B1A"/>
    <w:rsid w:val="0C3E37B8"/>
    <w:rsid w:val="160F5BE4"/>
    <w:rsid w:val="186D1B07"/>
    <w:rsid w:val="20ED20F1"/>
    <w:rsid w:val="22CB1786"/>
    <w:rsid w:val="291B71C3"/>
    <w:rsid w:val="2B557DD8"/>
    <w:rsid w:val="2E293FF4"/>
    <w:rsid w:val="382C277B"/>
    <w:rsid w:val="42646F03"/>
    <w:rsid w:val="46F178F6"/>
    <w:rsid w:val="4D44159F"/>
    <w:rsid w:val="50AD4858"/>
    <w:rsid w:val="534A234A"/>
    <w:rsid w:val="600C32EF"/>
    <w:rsid w:val="6CF30D18"/>
    <w:rsid w:val="70D12B34"/>
    <w:rsid w:val="737C4669"/>
    <w:rsid w:val="7A600DC3"/>
    <w:rsid w:val="7E782E23"/>
    <w:rsid w:val="7EF642D2"/>
    <w:rsid w:val="7F5C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880" w:firstLineChars="200"/>
    </w:pPr>
    <w:rPr>
      <w:rFonts w:ascii="Calibri" w:hAnsi="Calibri"/>
      <w:sz w:val="28"/>
      <w:szCs w:val="22"/>
    </w:rPr>
  </w:style>
  <w:style w:type="paragraph" w:styleId="3">
    <w:name w:val="Body Text Indent"/>
    <w:basedOn w:val="1"/>
    <w:next w:val="4"/>
    <w:qFormat/>
    <w:uiPriority w:val="0"/>
    <w:pPr>
      <w:spacing w:after="120" w:afterLines="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6">
    <w:name w:val="Normal (Web)"/>
    <w:basedOn w:val="1"/>
    <w:qFormat/>
    <w:uiPriority w:val="0"/>
    <w:pPr>
      <w:spacing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5</Pages>
  <Words>1968</Words>
  <Characters>2014</Characters>
  <Lines>0</Lines>
  <Paragraphs>0</Paragraphs>
  <TotalTime>7</TotalTime>
  <ScaleCrop>false</ScaleCrop>
  <LinksUpToDate>false</LinksUpToDate>
  <CharactersWithSpaces>2024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2023-03-17T12:20:00Z</dcterms:created>
  <dc:creator>努尔比耶</dc:creator>
  <cp:lastModifiedBy>dzblh</cp:lastModifiedBy>
  <dcterms:modified xsi:type="dcterms:W3CDTF">2023-03-22T12:10:40Z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8A38E1F0716941D4A956C7E98FC6C24B</vt:lpwstr>
  </property>
</Properties>
</file>