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简体"/>
          <w:b w:val="0"/>
          <w:bCs/>
          <w:sz w:val="44"/>
          <w:szCs w:val="44"/>
          <w:highlight w:val="none"/>
        </w:rPr>
      </w:pPr>
      <w:bookmarkStart w:id="0" w:name="_GoBack"/>
      <w:bookmarkEnd w:id="0"/>
      <w:r>
        <w:rPr>
          <w:rFonts w:hint="eastAsia" w:ascii="方正小标宋_GBK" w:hAnsi="方正小标宋_GBK" w:eastAsia="方正小标宋_GBK" w:cs="方正小标宋简体"/>
          <w:b w:val="0"/>
          <w:bCs/>
          <w:sz w:val="44"/>
          <w:szCs w:val="44"/>
          <w:highlight w:val="none"/>
          <w:lang w:eastAsia="zh-CN"/>
        </w:rPr>
        <w:t>和田地区</w:t>
      </w:r>
      <w:r>
        <w:rPr>
          <w:rFonts w:hint="eastAsia" w:ascii="方正小标宋_GBK" w:hAnsi="方正小标宋_GBK" w:eastAsia="方正小标宋_GBK" w:cs="方正小标宋简体"/>
          <w:b w:val="0"/>
          <w:bCs/>
          <w:sz w:val="44"/>
          <w:szCs w:val="44"/>
          <w:highlight w:val="none"/>
        </w:rPr>
        <w:t>退役军人事务</w:t>
      </w:r>
      <w:r>
        <w:rPr>
          <w:rFonts w:hint="eastAsia" w:ascii="方正小标宋_GBK" w:hAnsi="方正小标宋_GBK" w:eastAsia="方正小标宋_GBK" w:cs="方正小标宋简体"/>
          <w:b w:val="0"/>
          <w:bCs/>
          <w:sz w:val="44"/>
          <w:szCs w:val="44"/>
          <w:highlight w:val="none"/>
          <w:lang w:eastAsia="zh-CN"/>
        </w:rPr>
        <w:t>局2022年</w:t>
      </w:r>
      <w:r>
        <w:rPr>
          <w:rFonts w:hint="eastAsia" w:ascii="方正小标宋_GBK" w:hAnsi="方正小标宋_GBK" w:eastAsia="方正小标宋_GBK" w:cs="方正小标宋简体"/>
          <w:b w:val="0"/>
          <w:bCs/>
          <w:sz w:val="44"/>
          <w:szCs w:val="44"/>
          <w:highlight w:val="none"/>
        </w:rPr>
        <w:t>度政府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简体"/>
          <w:b w:val="0"/>
          <w:bCs/>
          <w:sz w:val="44"/>
          <w:szCs w:val="44"/>
          <w:highlight w:val="none"/>
        </w:rPr>
      </w:pPr>
      <w:r>
        <w:rPr>
          <w:rFonts w:hint="eastAsia" w:ascii="方正小标宋_GBK" w:hAnsi="方正小标宋_GBK" w:eastAsia="方正小标宋_GBK" w:cs="方正小标宋简体"/>
          <w:b w:val="0"/>
          <w:bCs/>
          <w:sz w:val="44"/>
          <w:szCs w:val="44"/>
          <w:highlight w:val="none"/>
        </w:rPr>
        <w:t>信息公开工作报告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textAlignment w:val="auto"/>
        <w:rPr>
          <w:rFonts w:hint="eastAsia" w:ascii="仿宋_GB2312" w:hAnsi="仿宋_GB2312" w:eastAsia="仿宋_GB2312" w:cs="仿宋_GB2312"/>
          <w:sz w:val="28"/>
          <w:szCs w:val="28"/>
          <w:highlight w:val="yellow"/>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根据《中华人民共和国政府信息公开条例》和《</w:t>
      </w:r>
      <w:r>
        <w:rPr>
          <w:rFonts w:hint="eastAsia" w:ascii="仿宋_GB2312" w:hAnsi="仿宋_GB2312" w:eastAsia="仿宋_GB2312" w:cs="仿宋_GB2312"/>
          <w:sz w:val="32"/>
          <w:szCs w:val="32"/>
          <w:lang w:eastAsia="zh-CN"/>
        </w:rPr>
        <w:t>中华人民共和国政府信息公开工作年度报告格式</w:t>
      </w:r>
      <w:r>
        <w:rPr>
          <w:rFonts w:hint="eastAsia" w:ascii="仿宋_GB2312" w:hAnsi="仿宋_GB2312" w:eastAsia="仿宋_GB2312" w:cs="仿宋_GB2312"/>
          <w:sz w:val="32"/>
          <w:szCs w:val="32"/>
        </w:rPr>
        <w:t>》有关规定，现将</w:t>
      </w:r>
      <w:r>
        <w:rPr>
          <w:rFonts w:hint="eastAsia" w:ascii="仿宋_GB2312" w:hAnsi="仿宋_GB2312" w:eastAsia="仿宋_GB2312" w:cs="仿宋_GB2312"/>
          <w:sz w:val="32"/>
          <w:szCs w:val="32"/>
          <w:lang w:eastAsia="zh-CN"/>
        </w:rPr>
        <w:t>和田地区</w:t>
      </w:r>
      <w:r>
        <w:rPr>
          <w:rFonts w:hint="eastAsia" w:ascii="仿宋_GB2312" w:hAnsi="仿宋_GB2312" w:eastAsia="仿宋_GB2312" w:cs="仿宋_GB2312"/>
          <w:sz w:val="32"/>
          <w:szCs w:val="32"/>
        </w:rPr>
        <w:t>退役军人事务</w:t>
      </w:r>
      <w:r>
        <w:rPr>
          <w:rFonts w:hint="eastAsia" w:ascii="仿宋_GB2312" w:hAnsi="仿宋_GB2312" w:eastAsia="仿宋_GB2312" w:cs="仿宋_GB2312"/>
          <w:sz w:val="32"/>
          <w:szCs w:val="32"/>
          <w:lang w:eastAsia="zh-CN"/>
        </w:rPr>
        <w:t>局2022年</w:t>
      </w:r>
      <w:r>
        <w:rPr>
          <w:rFonts w:hint="eastAsia" w:ascii="仿宋_GB2312" w:hAnsi="仿宋_GB2312" w:eastAsia="仿宋_GB2312" w:cs="仿宋_GB2312"/>
          <w:sz w:val="32"/>
          <w:szCs w:val="32"/>
        </w:rPr>
        <w:t>政府信息公开情况报告如下。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一、总体情况</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和田地区</w:t>
      </w:r>
      <w:r>
        <w:rPr>
          <w:rFonts w:hint="eastAsia" w:ascii="仿宋_GB2312" w:hAnsi="仿宋_GB2312" w:eastAsia="仿宋_GB2312" w:cs="仿宋_GB2312"/>
          <w:sz w:val="32"/>
          <w:szCs w:val="32"/>
        </w:rPr>
        <w:t>退役军人事务</w:t>
      </w:r>
      <w:r>
        <w:rPr>
          <w:rFonts w:hint="eastAsia" w:ascii="仿宋_GB2312" w:hAnsi="仿宋_GB2312" w:eastAsia="仿宋_GB2312" w:cs="仿宋_GB2312"/>
          <w:sz w:val="32"/>
          <w:szCs w:val="32"/>
          <w:lang w:eastAsia="zh-CN"/>
        </w:rPr>
        <w:t>局坚持以习近平新时代中国特色社会主义思想为指导，</w:t>
      </w:r>
      <w:r>
        <w:rPr>
          <w:rFonts w:hint="eastAsia" w:ascii="仿宋_GB2312" w:hAnsi="仿宋_GB2312" w:eastAsia="仿宋_GB2312" w:cs="仿宋_GB2312"/>
          <w:sz w:val="32"/>
          <w:szCs w:val="32"/>
        </w:rPr>
        <w:t>深入学习领会党中央、国务院关于政府信息公开工作的决策部署，</w:t>
      </w:r>
      <w:r>
        <w:rPr>
          <w:rFonts w:hint="eastAsia" w:ascii="仿宋_GB2312" w:hAnsi="仿宋_GB2312" w:eastAsia="仿宋_GB2312" w:cs="仿宋_GB2312"/>
          <w:sz w:val="32"/>
          <w:szCs w:val="32"/>
          <w:lang w:eastAsia="zh-CN"/>
        </w:rPr>
        <w:t>严格执行</w:t>
      </w:r>
      <w:r>
        <w:rPr>
          <w:rFonts w:hint="eastAsia" w:ascii="仿宋_GB2312" w:hAnsi="仿宋_GB2312" w:eastAsia="仿宋_GB2312" w:cs="仿宋_GB2312"/>
          <w:sz w:val="32"/>
          <w:szCs w:val="32"/>
        </w:rPr>
        <w:t>《中华人民共和国政府信息公开条例》</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全面落实国务院办公厅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自治区</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政府办公厅</w:t>
      </w:r>
      <w:r>
        <w:rPr>
          <w:rFonts w:hint="eastAsia" w:ascii="仿宋_GB2312" w:hAnsi="仿宋_GB2312" w:eastAsia="仿宋_GB2312" w:cs="仿宋_GB2312"/>
          <w:sz w:val="32"/>
          <w:szCs w:val="32"/>
          <w:lang w:eastAsia="zh-CN"/>
        </w:rPr>
        <w:t>、和田地区关于</w:t>
      </w:r>
      <w:r>
        <w:rPr>
          <w:rFonts w:hint="eastAsia" w:ascii="仿宋_GB2312" w:hAnsi="仿宋_GB2312" w:eastAsia="仿宋_GB2312" w:cs="仿宋_GB2312"/>
          <w:sz w:val="32"/>
          <w:szCs w:val="32"/>
        </w:rPr>
        <w:t>政务公开</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工作要求，</w:t>
      </w:r>
      <w:r>
        <w:rPr>
          <w:rFonts w:hint="eastAsia" w:ascii="仿宋_GB2312" w:hAnsi="仿宋_GB2312" w:eastAsia="仿宋_GB2312" w:cs="仿宋_GB2312"/>
          <w:sz w:val="32"/>
          <w:szCs w:val="32"/>
          <w:lang w:eastAsia="zh-CN"/>
        </w:rPr>
        <w:t>及时回应社会关切，</w:t>
      </w:r>
      <w:r>
        <w:rPr>
          <w:rFonts w:hint="eastAsia" w:ascii="仿宋_GB2312" w:hAnsi="仿宋_GB2312" w:eastAsia="仿宋_GB2312" w:cs="仿宋_GB2312"/>
          <w:sz w:val="32"/>
          <w:szCs w:val="32"/>
        </w:rPr>
        <w:t>不断加强政府信息公开工作的组织领导，跟进健全各项制度机制，严格执行各项要求，</w:t>
      </w:r>
      <w:r>
        <w:rPr>
          <w:rFonts w:hint="eastAsia" w:ascii="仿宋_GB2312" w:hAnsi="仿宋_GB2312" w:eastAsia="仿宋_GB2312" w:cs="仿宋_GB2312"/>
          <w:sz w:val="32"/>
          <w:szCs w:val="32"/>
          <w:lang w:eastAsia="zh-CN"/>
        </w:rPr>
        <w:t>扎实推进政府信息公开各项工作</w:t>
      </w:r>
      <w:r>
        <w:rPr>
          <w:rFonts w:hint="eastAsia" w:ascii="仿宋_GB2312" w:hAnsi="仿宋_GB2312" w:eastAsia="仿宋_GB2312" w:cs="仿宋_GB2312"/>
          <w:sz w:val="32"/>
          <w:szCs w:val="32"/>
        </w:rPr>
        <w:t>。</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仿宋_GB2312"/>
          <w:sz w:val="32"/>
          <w:szCs w:val="32"/>
          <w:lang w:eastAsia="zh-CN"/>
        </w:rPr>
        <w:t>（一）</w:t>
      </w:r>
      <w:r>
        <w:rPr>
          <w:rFonts w:hint="eastAsia" w:ascii="楷体_GB2312" w:hAnsi="楷体_GB2312" w:eastAsia="楷体_GB2312" w:cs="仿宋_GB2312"/>
          <w:sz w:val="32"/>
          <w:szCs w:val="32"/>
        </w:rPr>
        <w:t>主动公开方面。</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规范信息公开内容，领导简历、机构信息、政策文件、政策解读、人事信息、规划计划、财务公开内容均主动公开。</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严格执行财政信息公开，及时公布和田地区退役军人事务局</w:t>
      </w:r>
      <w:r>
        <w:rPr>
          <w:rFonts w:hint="eastAsia" w:ascii="仿宋_GB2312" w:hAnsi="仿宋_GB2312" w:eastAsia="仿宋_GB2312" w:cs="仿宋_GB2312"/>
          <w:sz w:val="32"/>
          <w:szCs w:val="32"/>
          <w:lang w:val="en-US" w:eastAsia="zh-CN"/>
        </w:rPr>
        <w:t>2023年财政预算信息与和田地区退役军人事务局2022年部门决算，并公布所属单位</w:t>
      </w:r>
      <w:r>
        <w:rPr>
          <w:rFonts w:hint="eastAsia" w:ascii="Times New Roman" w:hAnsi="Times New Roman" w:eastAsia="方正仿宋简体" w:cs="Times New Roman"/>
          <w:b w:val="0"/>
          <w:bCs w:val="0"/>
          <w:kern w:val="2"/>
          <w:sz w:val="32"/>
          <w:szCs w:val="32"/>
          <w:lang w:val="en-US" w:eastAsia="zh-CN" w:bidi="ar-SA"/>
        </w:rPr>
        <w:t>退役军人服务中心、军队离退休服务站、荣誉军人休养院</w:t>
      </w:r>
      <w:r>
        <w:rPr>
          <w:rFonts w:hint="eastAsia" w:ascii="仿宋_GB2312" w:hAnsi="仿宋_GB2312" w:eastAsia="仿宋_GB2312" w:cs="仿宋_GB2312"/>
          <w:sz w:val="32"/>
          <w:szCs w:val="32"/>
          <w:lang w:val="en-US" w:eastAsia="zh-CN"/>
        </w:rPr>
        <w:t>决算信息，以及政府集中采购情况。</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rPr>
        <w:t>认真落实《</w:t>
      </w:r>
      <w:r>
        <w:rPr>
          <w:rFonts w:hint="eastAsia" w:ascii="仿宋_GB2312" w:hAnsi="仿宋_GB2312" w:eastAsia="仿宋_GB2312" w:cs="仿宋_GB2312"/>
          <w:sz w:val="32"/>
          <w:szCs w:val="32"/>
          <w:lang w:eastAsia="zh-CN"/>
        </w:rPr>
        <w:t>2022年和田地区</w:t>
      </w:r>
      <w:r>
        <w:rPr>
          <w:rFonts w:hint="eastAsia" w:ascii="仿宋_GB2312" w:hAnsi="仿宋_GB2312" w:eastAsia="仿宋_GB2312" w:cs="仿宋_GB2312"/>
          <w:sz w:val="32"/>
          <w:szCs w:val="32"/>
        </w:rPr>
        <w:t>政务公开工作要点》中涉及退役军人事务部门的工作任务，主动公开退役军人安置管理、退役军人就业创业、退役军人优抚优待、退役军人权益维护和部分退役士兵社会保险接续等与人民群众生活密切相关信息。</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仿宋_GB2312"/>
          <w:sz w:val="32"/>
          <w:szCs w:val="32"/>
          <w:lang w:val="en" w:eastAsia="zh-CN"/>
        </w:rPr>
        <w:t>（二）</w:t>
      </w:r>
      <w:r>
        <w:rPr>
          <w:rFonts w:hint="eastAsia" w:ascii="楷体_GB2312" w:hAnsi="楷体_GB2312" w:eastAsia="楷体_GB2312" w:cs="仿宋_GB2312"/>
          <w:sz w:val="32"/>
          <w:szCs w:val="32"/>
        </w:rPr>
        <w:t>依申请公开方面。</w:t>
      </w:r>
      <w:r>
        <w:rPr>
          <w:rFonts w:hint="eastAsia" w:ascii="仿宋_GB2312" w:hAnsi="仿宋_GB2312" w:eastAsia="仿宋_GB2312" w:cs="仿宋_GB2312"/>
          <w:sz w:val="32"/>
          <w:szCs w:val="32"/>
          <w:lang w:eastAsia="zh-CN"/>
        </w:rPr>
        <w:t>严格落实政府信息依申请公开工作要求，规范依申请公开工作流程，畅通申请渠道，依法依规办理政府信息公开申请。2022年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和田地区</w:t>
      </w:r>
      <w:r>
        <w:rPr>
          <w:rFonts w:hint="eastAsia" w:ascii="仿宋_GB2312" w:hAnsi="仿宋_GB2312" w:eastAsia="仿宋_GB2312" w:cs="仿宋_GB2312"/>
          <w:sz w:val="32"/>
          <w:szCs w:val="32"/>
        </w:rPr>
        <w:t>退役军人事务</w:t>
      </w:r>
      <w:r>
        <w:rPr>
          <w:rFonts w:hint="eastAsia" w:ascii="仿宋_GB2312" w:hAnsi="仿宋_GB2312" w:eastAsia="仿宋_GB2312" w:cs="仿宋_GB2312"/>
          <w:sz w:val="32"/>
          <w:szCs w:val="32"/>
          <w:lang w:eastAsia="zh-CN"/>
        </w:rPr>
        <w:t>局未收到政府信息公开</w:t>
      </w:r>
      <w:r>
        <w:rPr>
          <w:rFonts w:hint="eastAsia" w:ascii="仿宋_GB2312" w:hAnsi="仿宋_GB2312" w:eastAsia="仿宋_GB2312" w:cs="仿宋_GB2312"/>
          <w:sz w:val="32"/>
          <w:szCs w:val="32"/>
        </w:rPr>
        <w:t>申请。</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仿宋_GB2312"/>
          <w:sz w:val="32"/>
          <w:szCs w:val="32"/>
        </w:rPr>
        <w:t>（三）政府信息管理情况。</w:t>
      </w:r>
      <w:r>
        <w:rPr>
          <w:rFonts w:hint="eastAsia" w:ascii="仿宋_GB2312" w:hAnsi="仿宋_GB2312" w:eastAsia="仿宋_GB2312" w:cs="仿宋_GB2312"/>
          <w:sz w:val="32"/>
          <w:szCs w:val="32"/>
          <w:lang w:eastAsia="zh-CN"/>
        </w:rPr>
        <w:t>和田地区退役军人事务局</w:t>
      </w:r>
      <w:r>
        <w:rPr>
          <w:rFonts w:hint="eastAsia" w:ascii="仿宋_GB2312" w:hAnsi="仿宋_GB2312" w:eastAsia="仿宋_GB2312" w:cs="仿宋_GB2312"/>
          <w:sz w:val="32"/>
          <w:szCs w:val="32"/>
        </w:rPr>
        <w:t>认真做好政府信息公开认定工作，严格审查公开的依据，进一步规范公开范围和内容，落实信息发布“三审三校”制度，规范信息公开发布及信息依申请公开流程，严把信息发布政治关、法律关、政策关、保密关、文字关，确保信息报送安全，推动政府信息公开工作制度化、规范化运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 w:eastAsia="zh-CN"/>
        </w:rPr>
      </w:pPr>
      <w:r>
        <w:rPr>
          <w:rFonts w:hint="eastAsia" w:ascii="楷体_GB2312" w:hAnsi="楷体_GB2312" w:eastAsia="楷体_GB2312" w:cs="楷体_GB2312"/>
          <w:sz w:val="32"/>
          <w:szCs w:val="32"/>
          <w:lang w:val="en-US" w:eastAsia="zh-CN"/>
        </w:rPr>
        <w:t>（四）政府信息平台建设</w:t>
      </w:r>
      <w:r>
        <w:rPr>
          <w:rFonts w:hint="eastAsia" w:ascii="楷体_GB2312" w:hAnsi="楷体_GB2312" w:eastAsia="楷体_GB2312" w:cs="楷体_GB2312"/>
          <w:b w:val="0"/>
          <w:bCs w:val="0"/>
          <w:sz w:val="32"/>
          <w:szCs w:val="32"/>
          <w:lang w:val="en" w:eastAsia="zh-CN"/>
        </w:rPr>
        <w:t>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和田地区退役军人事务局主要</w:t>
      </w:r>
      <w:r>
        <w:rPr>
          <w:rFonts w:hint="eastAsia" w:ascii="仿宋_GB2312" w:hAnsi="仿宋_GB2312" w:eastAsia="仿宋_GB2312" w:cs="仿宋_GB2312"/>
          <w:b w:val="0"/>
          <w:bCs w:val="0"/>
          <w:sz w:val="32"/>
          <w:szCs w:val="32"/>
          <w:lang w:val="en" w:eastAsia="zh-CN"/>
        </w:rPr>
        <w:t>依托和田地区行政公署网站和新疆政务服务网站政务公开栏开展政府信息公开工作，</w:t>
      </w:r>
      <w:r>
        <w:rPr>
          <w:rFonts w:hint="eastAsia" w:ascii="仿宋_GB2312" w:hAnsi="仿宋_GB2312" w:eastAsia="仿宋_GB2312" w:cs="仿宋_GB2312"/>
          <w:b w:val="0"/>
          <w:bCs w:val="0"/>
          <w:sz w:val="32"/>
          <w:szCs w:val="32"/>
          <w:lang w:val="en-US" w:eastAsia="zh-CN"/>
        </w:rPr>
        <w:t>未建立本机关门户网站和政务新媒体</w:t>
      </w:r>
      <w:r>
        <w:rPr>
          <w:rFonts w:hint="eastAsia" w:ascii="仿宋_GB2312" w:hAnsi="仿宋_GB2312" w:eastAsia="仿宋_GB2312" w:cs="仿宋_GB2312"/>
          <w:b w:val="0"/>
          <w:bCs w:val="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仿宋_GB2312"/>
          <w:sz w:val="32"/>
          <w:szCs w:val="32"/>
        </w:rPr>
        <w:t>（</w:t>
      </w:r>
      <w:r>
        <w:rPr>
          <w:rFonts w:hint="eastAsia" w:ascii="楷体_GB2312" w:hAnsi="楷体_GB2312" w:eastAsia="楷体_GB2312" w:cs="仿宋_GB2312"/>
          <w:sz w:val="32"/>
          <w:szCs w:val="32"/>
          <w:lang w:eastAsia="zh-CN"/>
        </w:rPr>
        <w:t>五</w:t>
      </w:r>
      <w:r>
        <w:rPr>
          <w:rFonts w:hint="eastAsia" w:ascii="楷体_GB2312" w:hAnsi="楷体_GB2312" w:eastAsia="楷体_GB2312" w:cs="仿宋_GB2312"/>
          <w:sz w:val="32"/>
          <w:szCs w:val="32"/>
        </w:rPr>
        <w:t>）监督保障</w:t>
      </w:r>
      <w:r>
        <w:rPr>
          <w:rFonts w:hint="eastAsia" w:ascii="楷体_GB2312" w:hAnsi="楷体_GB2312" w:eastAsia="楷体_GB2312" w:cs="仿宋_GB2312"/>
          <w:sz w:val="32"/>
          <w:szCs w:val="32"/>
          <w:lang w:eastAsia="zh-CN"/>
        </w:rPr>
        <w:t>方面</w:t>
      </w:r>
      <w:r>
        <w:rPr>
          <w:rFonts w:hint="eastAsia" w:ascii="楷体_GB2312" w:hAnsi="楷体_GB2312" w:eastAsia="楷体_GB2312" w:cs="仿宋_GB2312"/>
          <w:sz w:val="32"/>
          <w:szCs w:val="32"/>
        </w:rPr>
        <w:t>。</w:t>
      </w:r>
      <w:r>
        <w:rPr>
          <w:rFonts w:hint="eastAsia" w:ascii="仿宋_GB2312" w:hAnsi="仿宋_GB2312" w:eastAsia="仿宋_GB2312" w:cs="仿宋_GB2312"/>
          <w:sz w:val="32"/>
          <w:szCs w:val="32"/>
        </w:rPr>
        <w:t>为加强工作指导和督促落实，24小时接受群众咨询投诉，</w:t>
      </w:r>
      <w:r>
        <w:rPr>
          <w:rFonts w:hint="eastAsia" w:ascii="仿宋_GB2312" w:hAnsi="仿宋_GB2312" w:eastAsia="仿宋_GB2312" w:cs="仿宋_GB2312"/>
          <w:sz w:val="32"/>
          <w:szCs w:val="32"/>
          <w:lang w:eastAsia="zh-CN"/>
        </w:rPr>
        <w:t>在和田政府网公开《和田地区</w:t>
      </w:r>
      <w:r>
        <w:rPr>
          <w:rFonts w:hint="eastAsia" w:ascii="仿宋_GB2312" w:hAnsi="仿宋_GB2312" w:eastAsia="仿宋_GB2312" w:cs="仿宋_GB2312"/>
          <w:sz w:val="32"/>
          <w:szCs w:val="32"/>
        </w:rPr>
        <w:t>退役军人事务</w:t>
      </w:r>
      <w:r>
        <w:rPr>
          <w:rFonts w:hint="eastAsia" w:ascii="仿宋_GB2312" w:hAnsi="仿宋_GB2312" w:eastAsia="仿宋_GB2312" w:cs="仿宋_GB2312"/>
          <w:sz w:val="32"/>
          <w:szCs w:val="32"/>
          <w:lang w:eastAsia="zh-CN"/>
        </w:rPr>
        <w:t>局机构职能职责》、</w:t>
      </w:r>
      <w:r>
        <w:rPr>
          <w:rFonts w:hint="eastAsia" w:ascii="仿宋_GB2312" w:hAnsi="仿宋_GB2312" w:eastAsia="仿宋_GB2312" w:cs="仿宋_GB2312"/>
          <w:sz w:val="32"/>
          <w:szCs w:val="32"/>
        </w:rPr>
        <w:t>办公室电话、传真及通讯地址。全年未接到与政府信息公开工作有关的行政复议和行政诉讼。</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二、主动公开政府信息情况</w:t>
      </w:r>
      <w:r>
        <w:rPr>
          <w:rFonts w:hint="eastAsia" w:ascii="黑体" w:hAnsi="黑体" w:eastAsia="黑体" w:cs="黑体"/>
          <w:b w:val="0"/>
          <w:bCs/>
          <w:sz w:val="32"/>
          <w:szCs w:val="32"/>
          <w:highlight w:val="none"/>
          <w:lang w:val="en-US" w:eastAsia="zh-CN"/>
        </w:rPr>
        <w:t xml:space="preserve"> </w:t>
      </w:r>
    </w:p>
    <w:tbl>
      <w:tblPr>
        <w:tblStyle w:val="7"/>
        <w:tblW w:w="0" w:type="auto"/>
        <w:jc w:val="center"/>
        <w:tblLayout w:type="fixed"/>
        <w:tblCellMar>
          <w:top w:w="0" w:type="dxa"/>
          <w:left w:w="0" w:type="dxa"/>
          <w:bottom w:w="0" w:type="dxa"/>
          <w:right w:w="0" w:type="dxa"/>
        </w:tblCellMar>
      </w:tblPr>
      <w:tblGrid>
        <w:gridCol w:w="2559"/>
        <w:gridCol w:w="1639"/>
        <w:gridCol w:w="1601"/>
        <w:gridCol w:w="2881"/>
      </w:tblGrid>
      <w:tr>
        <w:tblPrEx>
          <w:tblCellMar>
            <w:top w:w="0" w:type="dxa"/>
            <w:left w:w="0" w:type="dxa"/>
            <w:bottom w:w="0" w:type="dxa"/>
            <w:right w:w="0" w:type="dxa"/>
          </w:tblCellMar>
        </w:tblPrEx>
        <w:trPr>
          <w:trHeight w:val="251" w:hRule="atLeast"/>
          <w:jc w:val="center"/>
        </w:trPr>
        <w:tc>
          <w:tcPr>
            <w:tcW w:w="8680" w:type="dxa"/>
            <w:gridSpan w:val="4"/>
            <w:tcBorders>
              <w:top w:val="single" w:color="auto" w:sz="8" w:space="0"/>
              <w:left w:val="single" w:color="auto" w:sz="8" w:space="0"/>
              <w:bottom w:val="single" w:color="auto" w:sz="8" w:space="0"/>
              <w:right w:val="single" w:color="auto" w:sz="8" w:space="0"/>
            </w:tcBorders>
            <w:noWrap w:val="0"/>
            <w:vAlign w:val="top"/>
          </w:tcPr>
          <w:p>
            <w:pPr>
              <w:pStyle w:val="6"/>
              <w:keepNext w:val="0"/>
              <w:keepLines w:val="0"/>
              <w:widowControl/>
              <w:suppressLineNumbers w:val="0"/>
              <w:ind w:left="0" w:firstLine="420"/>
              <w:jc w:val="center"/>
              <w:rPr>
                <w:rFonts w:hint="eastAsia" w:ascii="仿宋_GB2312" w:hAnsi="仿宋_GB2312" w:eastAsia="仿宋_GB2312" w:cs="仿宋_GB2312"/>
              </w:rPr>
            </w:pPr>
            <w:r>
              <w:rPr>
                <w:rFonts w:hint="eastAsia" w:ascii="仿宋_GB2312" w:hAnsi="仿宋_GB2312" w:eastAsia="仿宋_GB2312" w:cs="仿宋_GB2312"/>
                <w:color w:val="333333"/>
                <w:sz w:val="21"/>
                <w:szCs w:val="21"/>
              </w:rPr>
              <w:t>第二十条第（一）项</w:t>
            </w:r>
          </w:p>
        </w:tc>
      </w:tr>
      <w:tr>
        <w:tblPrEx>
          <w:tblCellMar>
            <w:top w:w="0" w:type="dxa"/>
            <w:left w:w="0" w:type="dxa"/>
            <w:bottom w:w="0" w:type="dxa"/>
            <w:right w:w="0" w:type="dxa"/>
          </w:tblCellMar>
        </w:tblPrEx>
        <w:trPr>
          <w:trHeight w:val="251" w:hRule="atLeast"/>
          <w:jc w:val="center"/>
        </w:trPr>
        <w:tc>
          <w:tcPr>
            <w:tcW w:w="2559" w:type="dxa"/>
            <w:tcBorders>
              <w:top w:val="single" w:color="auto" w:sz="8" w:space="0"/>
              <w:left w:val="single" w:color="auto" w:sz="8" w:space="0"/>
              <w:bottom w:val="single" w:color="auto" w:sz="8" w:space="0"/>
              <w:right w:val="single" w:color="auto" w:sz="8" w:space="0"/>
            </w:tcBorders>
            <w:noWrap w:val="0"/>
            <w:vAlign w:val="top"/>
          </w:tcPr>
          <w:p>
            <w:pPr>
              <w:pStyle w:val="6"/>
              <w:keepNext w:val="0"/>
              <w:keepLines w:val="0"/>
              <w:widowControl/>
              <w:suppressLineNumbers w:val="0"/>
              <w:jc w:val="center"/>
              <w:rPr>
                <w:rFonts w:hint="eastAsia" w:ascii="仿宋_GB2312" w:hAnsi="仿宋_GB2312" w:eastAsia="仿宋_GB2312" w:cs="仿宋_GB2312"/>
                <w:sz w:val="21"/>
                <w:szCs w:val="21"/>
              </w:rPr>
            </w:pPr>
            <w:r>
              <w:rPr>
                <w:rFonts w:hint="eastAsia" w:ascii="仿宋_GB2312" w:hAnsi="仿宋_GB2312" w:eastAsia="仿宋_GB2312" w:cs="仿宋_GB2312"/>
                <w:color w:val="333333"/>
                <w:sz w:val="21"/>
                <w:szCs w:val="21"/>
              </w:rPr>
              <w:t>信息内容</w:t>
            </w:r>
          </w:p>
        </w:tc>
        <w:tc>
          <w:tcPr>
            <w:tcW w:w="1639" w:type="dxa"/>
            <w:tcBorders>
              <w:top w:val="single" w:color="auto" w:sz="8" w:space="0"/>
              <w:left w:val="single" w:color="auto" w:sz="8" w:space="0"/>
              <w:bottom w:val="single" w:color="auto" w:sz="8" w:space="0"/>
              <w:right w:val="single" w:color="auto" w:sz="8" w:space="0"/>
            </w:tcBorders>
            <w:noWrap w:val="0"/>
            <w:vAlign w:val="top"/>
          </w:tcPr>
          <w:p>
            <w:pPr>
              <w:pStyle w:val="6"/>
              <w:keepNext w:val="0"/>
              <w:keepLines w:val="0"/>
              <w:widowControl/>
              <w:suppressLineNumbers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333333"/>
                <w:sz w:val="21"/>
                <w:szCs w:val="21"/>
              </w:rPr>
              <w:t>本年制</w:t>
            </w:r>
            <w:r>
              <w:rPr>
                <w:rFonts w:hint="eastAsia" w:ascii="仿宋_GB2312" w:hAnsi="仿宋_GB2312" w:eastAsia="仿宋_GB2312" w:cs="仿宋_GB2312"/>
                <w:color w:val="333333"/>
                <w:sz w:val="21"/>
                <w:szCs w:val="21"/>
                <w:lang w:eastAsia="zh-CN"/>
              </w:rPr>
              <w:t>发件数</w:t>
            </w:r>
          </w:p>
        </w:tc>
        <w:tc>
          <w:tcPr>
            <w:tcW w:w="1601" w:type="dxa"/>
            <w:tcBorders>
              <w:top w:val="single" w:color="auto" w:sz="8" w:space="0"/>
              <w:left w:val="single" w:color="auto" w:sz="8" w:space="0"/>
              <w:bottom w:val="single" w:color="auto" w:sz="8" w:space="0"/>
              <w:right w:val="single" w:color="auto" w:sz="8" w:space="0"/>
            </w:tcBorders>
            <w:noWrap w:val="0"/>
            <w:vAlign w:val="top"/>
          </w:tcPr>
          <w:p>
            <w:pPr>
              <w:pStyle w:val="6"/>
              <w:keepNext w:val="0"/>
              <w:keepLines w:val="0"/>
              <w:widowControl/>
              <w:suppressLineNumbers w:val="0"/>
              <w:jc w:val="center"/>
              <w:rPr>
                <w:rFonts w:hint="eastAsia" w:ascii="仿宋_GB2312" w:hAnsi="仿宋_GB2312" w:eastAsia="仿宋_GB2312" w:cs="仿宋_GB2312"/>
                <w:sz w:val="21"/>
                <w:szCs w:val="21"/>
              </w:rPr>
            </w:pPr>
            <w:r>
              <w:rPr>
                <w:rFonts w:hint="eastAsia" w:ascii="仿宋_GB2312" w:hAnsi="仿宋_GB2312" w:eastAsia="仿宋_GB2312" w:cs="仿宋_GB2312"/>
                <w:color w:val="333333"/>
                <w:sz w:val="21"/>
                <w:szCs w:val="21"/>
              </w:rPr>
              <w:t>本年</w:t>
            </w:r>
            <w:r>
              <w:rPr>
                <w:rFonts w:hint="eastAsia" w:ascii="仿宋_GB2312" w:hAnsi="仿宋_GB2312" w:eastAsia="仿宋_GB2312" w:cs="仿宋_GB2312"/>
                <w:color w:val="333333"/>
                <w:sz w:val="21"/>
                <w:szCs w:val="21"/>
                <w:lang w:eastAsia="zh-CN"/>
              </w:rPr>
              <w:t>废止件数</w:t>
            </w:r>
          </w:p>
        </w:tc>
        <w:tc>
          <w:tcPr>
            <w:tcW w:w="2881" w:type="dxa"/>
            <w:tcBorders>
              <w:top w:val="single" w:color="auto" w:sz="8" w:space="0"/>
              <w:left w:val="single" w:color="auto" w:sz="8" w:space="0"/>
              <w:bottom w:val="single" w:color="auto" w:sz="8" w:space="0"/>
              <w:right w:val="single" w:color="auto" w:sz="8" w:space="0"/>
            </w:tcBorders>
            <w:noWrap w:val="0"/>
            <w:vAlign w:val="top"/>
          </w:tcPr>
          <w:p>
            <w:pPr>
              <w:pStyle w:val="6"/>
              <w:keepNext w:val="0"/>
              <w:keepLines w:val="0"/>
              <w:widowControl/>
              <w:suppressLineNumbers w:val="0"/>
              <w:jc w:val="center"/>
              <w:rPr>
                <w:rFonts w:hint="eastAsia" w:ascii="仿宋_GB2312" w:hAnsi="仿宋_GB2312" w:eastAsia="仿宋_GB2312" w:cs="仿宋_GB2312"/>
                <w:sz w:val="21"/>
                <w:szCs w:val="21"/>
              </w:rPr>
            </w:pPr>
            <w:r>
              <w:rPr>
                <w:rFonts w:hint="eastAsia" w:ascii="仿宋_GB2312" w:hAnsi="仿宋_GB2312" w:eastAsia="仿宋_GB2312" w:cs="仿宋_GB2312"/>
                <w:color w:val="333333"/>
                <w:sz w:val="21"/>
                <w:szCs w:val="21"/>
                <w:lang w:eastAsia="zh-CN"/>
              </w:rPr>
              <w:t>现行有效</w:t>
            </w:r>
            <w:r>
              <w:rPr>
                <w:rFonts w:hint="eastAsia" w:ascii="仿宋_GB2312" w:hAnsi="仿宋_GB2312" w:eastAsia="仿宋_GB2312" w:cs="仿宋_GB2312"/>
                <w:color w:val="333333"/>
                <w:sz w:val="21"/>
                <w:szCs w:val="21"/>
                <w:lang w:val="en-US" w:eastAsia="zh-CN"/>
              </w:rPr>
              <w:t>件数</w:t>
            </w:r>
          </w:p>
        </w:tc>
      </w:tr>
      <w:tr>
        <w:tblPrEx>
          <w:tblCellMar>
            <w:top w:w="0" w:type="dxa"/>
            <w:left w:w="0" w:type="dxa"/>
            <w:bottom w:w="0" w:type="dxa"/>
            <w:right w:w="0" w:type="dxa"/>
          </w:tblCellMar>
        </w:tblPrEx>
        <w:trPr>
          <w:trHeight w:val="251" w:hRule="atLeast"/>
          <w:jc w:val="center"/>
        </w:trPr>
        <w:tc>
          <w:tcPr>
            <w:tcW w:w="2559" w:type="dxa"/>
            <w:tcBorders>
              <w:top w:val="single" w:color="auto" w:sz="8" w:space="0"/>
              <w:left w:val="single" w:color="auto" w:sz="8" w:space="0"/>
              <w:bottom w:val="single" w:color="auto" w:sz="8" w:space="0"/>
              <w:right w:val="single" w:color="auto" w:sz="8" w:space="0"/>
            </w:tcBorders>
            <w:noWrap w:val="0"/>
            <w:vAlign w:val="top"/>
          </w:tcPr>
          <w:p>
            <w:pPr>
              <w:pStyle w:val="6"/>
              <w:keepNext w:val="0"/>
              <w:keepLines w:val="0"/>
              <w:widowControl/>
              <w:suppressLineNumbers w:val="0"/>
              <w:jc w:val="center"/>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规章</w:t>
            </w:r>
          </w:p>
        </w:tc>
        <w:tc>
          <w:tcPr>
            <w:tcW w:w="1639" w:type="dxa"/>
            <w:tcBorders>
              <w:top w:val="single" w:color="auto" w:sz="8" w:space="0"/>
              <w:left w:val="single" w:color="auto" w:sz="8" w:space="0"/>
              <w:bottom w:val="single" w:color="auto" w:sz="8" w:space="0"/>
              <w:right w:val="single" w:color="auto" w:sz="8" w:space="0"/>
            </w:tcBorders>
            <w:noWrap w:val="0"/>
            <w:vAlign w:val="top"/>
          </w:tcPr>
          <w:p>
            <w:pPr>
              <w:pStyle w:val="6"/>
              <w:keepNext w:val="0"/>
              <w:keepLines w:val="0"/>
              <w:widowControl/>
              <w:suppressLineNumbers w:val="0"/>
              <w:jc w:val="center"/>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0</w:t>
            </w:r>
          </w:p>
        </w:tc>
        <w:tc>
          <w:tcPr>
            <w:tcW w:w="1601" w:type="dxa"/>
            <w:tcBorders>
              <w:top w:val="single" w:color="auto" w:sz="8" w:space="0"/>
              <w:left w:val="single" w:color="auto" w:sz="8" w:space="0"/>
              <w:bottom w:val="single" w:color="auto" w:sz="8" w:space="0"/>
              <w:right w:val="single" w:color="auto" w:sz="8" w:space="0"/>
            </w:tcBorders>
            <w:noWrap w:val="0"/>
            <w:vAlign w:val="top"/>
          </w:tcPr>
          <w:p>
            <w:pPr>
              <w:pStyle w:val="6"/>
              <w:keepNext w:val="0"/>
              <w:keepLines w:val="0"/>
              <w:widowControl/>
              <w:suppressLineNumbers w:val="0"/>
              <w:jc w:val="center"/>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0</w:t>
            </w:r>
          </w:p>
        </w:tc>
        <w:tc>
          <w:tcPr>
            <w:tcW w:w="2881" w:type="dxa"/>
            <w:tcBorders>
              <w:top w:val="single" w:color="auto" w:sz="8" w:space="0"/>
              <w:left w:val="single" w:color="auto" w:sz="8" w:space="0"/>
              <w:bottom w:val="single" w:color="auto" w:sz="8" w:space="0"/>
              <w:right w:val="single" w:color="auto" w:sz="8" w:space="0"/>
            </w:tcBorders>
            <w:noWrap w:val="0"/>
            <w:vAlign w:val="top"/>
          </w:tcPr>
          <w:p>
            <w:pPr>
              <w:pStyle w:val="6"/>
              <w:keepNext w:val="0"/>
              <w:keepLines w:val="0"/>
              <w:widowControl/>
              <w:suppressLineNumbers w:val="0"/>
              <w:jc w:val="center"/>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0</w:t>
            </w:r>
          </w:p>
        </w:tc>
      </w:tr>
      <w:tr>
        <w:tblPrEx>
          <w:tblCellMar>
            <w:top w:w="0" w:type="dxa"/>
            <w:left w:w="0" w:type="dxa"/>
            <w:bottom w:w="0" w:type="dxa"/>
            <w:right w:w="0" w:type="dxa"/>
          </w:tblCellMar>
        </w:tblPrEx>
        <w:trPr>
          <w:trHeight w:val="251" w:hRule="atLeast"/>
          <w:jc w:val="center"/>
        </w:trPr>
        <w:tc>
          <w:tcPr>
            <w:tcW w:w="2559" w:type="dxa"/>
            <w:tcBorders>
              <w:top w:val="single" w:color="auto" w:sz="8" w:space="0"/>
              <w:left w:val="single" w:color="auto" w:sz="8" w:space="0"/>
              <w:bottom w:val="single" w:color="auto" w:sz="8" w:space="0"/>
              <w:right w:val="single" w:color="auto" w:sz="8" w:space="0"/>
            </w:tcBorders>
            <w:noWrap w:val="0"/>
            <w:vAlign w:val="top"/>
          </w:tcPr>
          <w:p>
            <w:pPr>
              <w:pStyle w:val="6"/>
              <w:keepNext w:val="0"/>
              <w:keepLines w:val="0"/>
              <w:widowControl/>
              <w:suppressLineNumbers w:val="0"/>
              <w:jc w:val="center"/>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lang w:eastAsia="zh-CN"/>
              </w:rPr>
              <w:t>行政</w:t>
            </w:r>
            <w:r>
              <w:rPr>
                <w:rFonts w:hint="eastAsia" w:ascii="仿宋_GB2312" w:hAnsi="仿宋_GB2312" w:eastAsia="仿宋_GB2312" w:cs="仿宋_GB2312"/>
                <w:color w:val="333333"/>
                <w:sz w:val="21"/>
                <w:szCs w:val="21"/>
              </w:rPr>
              <w:t>规范性文件</w:t>
            </w:r>
          </w:p>
        </w:tc>
        <w:tc>
          <w:tcPr>
            <w:tcW w:w="1639" w:type="dxa"/>
            <w:tcBorders>
              <w:top w:val="single" w:color="auto" w:sz="8" w:space="0"/>
              <w:left w:val="single" w:color="auto" w:sz="8" w:space="0"/>
              <w:bottom w:val="single" w:color="auto" w:sz="8" w:space="0"/>
              <w:right w:val="single" w:color="auto" w:sz="8" w:space="0"/>
            </w:tcBorders>
            <w:noWrap w:val="0"/>
            <w:vAlign w:val="top"/>
          </w:tcPr>
          <w:p>
            <w:pPr>
              <w:pStyle w:val="6"/>
              <w:keepNext w:val="0"/>
              <w:keepLines w:val="0"/>
              <w:widowControl/>
              <w:suppressLineNumbers w:val="0"/>
              <w:jc w:val="center"/>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0</w:t>
            </w:r>
          </w:p>
        </w:tc>
        <w:tc>
          <w:tcPr>
            <w:tcW w:w="1601" w:type="dxa"/>
            <w:tcBorders>
              <w:top w:val="single" w:color="auto" w:sz="8" w:space="0"/>
              <w:left w:val="single" w:color="auto" w:sz="8" w:space="0"/>
              <w:bottom w:val="single" w:color="auto" w:sz="8" w:space="0"/>
              <w:right w:val="single" w:color="auto" w:sz="8" w:space="0"/>
            </w:tcBorders>
            <w:noWrap w:val="0"/>
            <w:vAlign w:val="top"/>
          </w:tcPr>
          <w:p>
            <w:pPr>
              <w:pStyle w:val="6"/>
              <w:keepNext w:val="0"/>
              <w:keepLines w:val="0"/>
              <w:widowControl/>
              <w:suppressLineNumbers w:val="0"/>
              <w:jc w:val="center"/>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0</w:t>
            </w:r>
          </w:p>
        </w:tc>
        <w:tc>
          <w:tcPr>
            <w:tcW w:w="2881" w:type="dxa"/>
            <w:tcBorders>
              <w:top w:val="single" w:color="auto" w:sz="8" w:space="0"/>
              <w:left w:val="single" w:color="auto" w:sz="8" w:space="0"/>
              <w:bottom w:val="single" w:color="auto" w:sz="8" w:space="0"/>
              <w:right w:val="single" w:color="auto" w:sz="8" w:space="0"/>
            </w:tcBorders>
            <w:noWrap w:val="0"/>
            <w:vAlign w:val="top"/>
          </w:tcPr>
          <w:p>
            <w:pPr>
              <w:pStyle w:val="6"/>
              <w:keepNext w:val="0"/>
              <w:keepLines w:val="0"/>
              <w:widowControl/>
              <w:suppressLineNumbers w:val="0"/>
              <w:jc w:val="center"/>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0</w:t>
            </w:r>
          </w:p>
        </w:tc>
      </w:tr>
      <w:tr>
        <w:tblPrEx>
          <w:tblCellMar>
            <w:top w:w="0" w:type="dxa"/>
            <w:left w:w="0" w:type="dxa"/>
            <w:bottom w:w="0" w:type="dxa"/>
            <w:right w:w="0" w:type="dxa"/>
          </w:tblCellMar>
        </w:tblPrEx>
        <w:trPr>
          <w:trHeight w:val="251" w:hRule="atLeast"/>
          <w:jc w:val="center"/>
        </w:trPr>
        <w:tc>
          <w:tcPr>
            <w:tcW w:w="8680" w:type="dxa"/>
            <w:gridSpan w:val="4"/>
            <w:tcBorders>
              <w:top w:val="single" w:color="auto" w:sz="8" w:space="0"/>
              <w:left w:val="single" w:color="auto" w:sz="8" w:space="0"/>
              <w:bottom w:val="single" w:color="auto" w:sz="8" w:space="0"/>
              <w:right w:val="single" w:color="auto" w:sz="8" w:space="0"/>
            </w:tcBorders>
            <w:noWrap w:val="0"/>
            <w:vAlign w:val="top"/>
          </w:tcPr>
          <w:p>
            <w:pPr>
              <w:pStyle w:val="6"/>
              <w:keepNext w:val="0"/>
              <w:keepLines w:val="0"/>
              <w:widowControl/>
              <w:suppressLineNumbers w:val="0"/>
              <w:jc w:val="center"/>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第二十条第（五）项</w:t>
            </w:r>
          </w:p>
        </w:tc>
      </w:tr>
      <w:tr>
        <w:tblPrEx>
          <w:tblCellMar>
            <w:top w:w="0" w:type="dxa"/>
            <w:left w:w="0" w:type="dxa"/>
            <w:bottom w:w="0" w:type="dxa"/>
            <w:right w:w="0" w:type="dxa"/>
          </w:tblCellMar>
        </w:tblPrEx>
        <w:trPr>
          <w:trHeight w:val="251" w:hRule="atLeast"/>
          <w:jc w:val="center"/>
        </w:trPr>
        <w:tc>
          <w:tcPr>
            <w:tcW w:w="2559" w:type="dxa"/>
            <w:tcBorders>
              <w:top w:val="single" w:color="auto" w:sz="8" w:space="0"/>
              <w:left w:val="single" w:color="auto" w:sz="8" w:space="0"/>
              <w:bottom w:val="single" w:color="auto" w:sz="8" w:space="0"/>
              <w:right w:val="single" w:color="auto" w:sz="8" w:space="0"/>
            </w:tcBorders>
            <w:noWrap w:val="0"/>
            <w:vAlign w:val="top"/>
          </w:tcPr>
          <w:p>
            <w:pPr>
              <w:pStyle w:val="6"/>
              <w:keepNext w:val="0"/>
              <w:keepLines w:val="0"/>
              <w:widowControl/>
              <w:suppressLineNumbers w:val="0"/>
              <w:jc w:val="center"/>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信息内容</w:t>
            </w:r>
          </w:p>
        </w:tc>
        <w:tc>
          <w:tcPr>
            <w:tcW w:w="6121" w:type="dxa"/>
            <w:gridSpan w:val="3"/>
            <w:tcBorders>
              <w:top w:val="single" w:color="auto" w:sz="8" w:space="0"/>
              <w:left w:val="single" w:color="auto" w:sz="8" w:space="0"/>
              <w:bottom w:val="single" w:color="auto" w:sz="8" w:space="0"/>
              <w:right w:val="single" w:color="auto" w:sz="8" w:space="0"/>
            </w:tcBorders>
            <w:noWrap w:val="0"/>
            <w:vAlign w:val="top"/>
          </w:tcPr>
          <w:p>
            <w:pPr>
              <w:pStyle w:val="6"/>
              <w:keepNext w:val="0"/>
              <w:keepLines w:val="0"/>
              <w:widowControl/>
              <w:suppressLineNumbers w:val="0"/>
              <w:jc w:val="center"/>
              <w:rPr>
                <w:rFonts w:hint="eastAsia" w:ascii="仿宋_GB2312" w:hAnsi="仿宋_GB2312" w:eastAsia="仿宋_GB2312" w:cs="仿宋_GB2312"/>
                <w:color w:val="333333"/>
                <w:sz w:val="21"/>
                <w:szCs w:val="21"/>
                <w:lang w:eastAsia="zh-CN"/>
              </w:rPr>
            </w:pPr>
            <w:r>
              <w:rPr>
                <w:rFonts w:hint="eastAsia" w:ascii="仿宋_GB2312" w:hAnsi="仿宋_GB2312" w:eastAsia="仿宋_GB2312" w:cs="仿宋_GB2312"/>
                <w:color w:val="333333"/>
                <w:sz w:val="21"/>
                <w:szCs w:val="21"/>
                <w:lang w:val="en-US" w:eastAsia="zh-CN"/>
              </w:rPr>
              <w:t>本年处理决定数量</w:t>
            </w:r>
          </w:p>
        </w:tc>
      </w:tr>
      <w:tr>
        <w:tblPrEx>
          <w:tblCellMar>
            <w:top w:w="0" w:type="dxa"/>
            <w:left w:w="0" w:type="dxa"/>
            <w:bottom w:w="0" w:type="dxa"/>
            <w:right w:w="0" w:type="dxa"/>
          </w:tblCellMar>
        </w:tblPrEx>
        <w:trPr>
          <w:trHeight w:val="313" w:hRule="atLeast"/>
          <w:jc w:val="center"/>
        </w:trPr>
        <w:tc>
          <w:tcPr>
            <w:tcW w:w="2559" w:type="dxa"/>
            <w:tcBorders>
              <w:top w:val="single" w:color="auto" w:sz="8" w:space="0"/>
              <w:left w:val="single" w:color="auto" w:sz="8" w:space="0"/>
              <w:bottom w:val="single" w:color="auto" w:sz="8" w:space="0"/>
              <w:right w:val="single" w:color="auto" w:sz="8" w:space="0"/>
            </w:tcBorders>
            <w:noWrap w:val="0"/>
            <w:vAlign w:val="center"/>
          </w:tcPr>
          <w:p>
            <w:pPr>
              <w:pStyle w:val="6"/>
              <w:keepNext w:val="0"/>
              <w:keepLines w:val="0"/>
              <w:widowControl/>
              <w:suppressLineNumbers w:val="0"/>
              <w:jc w:val="center"/>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行政许可</w:t>
            </w:r>
          </w:p>
        </w:tc>
        <w:tc>
          <w:tcPr>
            <w:tcW w:w="6121" w:type="dxa"/>
            <w:gridSpan w:val="3"/>
            <w:tcBorders>
              <w:top w:val="single" w:color="auto" w:sz="8" w:space="0"/>
              <w:left w:val="single" w:color="auto" w:sz="8" w:space="0"/>
              <w:bottom w:val="single" w:color="auto" w:sz="8" w:space="0"/>
              <w:right w:val="single" w:color="auto" w:sz="8" w:space="0"/>
            </w:tcBorders>
            <w:noWrap w:val="0"/>
            <w:vAlign w:val="center"/>
          </w:tcPr>
          <w:p>
            <w:pPr>
              <w:pStyle w:val="6"/>
              <w:keepNext w:val="0"/>
              <w:keepLines w:val="0"/>
              <w:widowControl/>
              <w:suppressLineNumbers w:val="0"/>
              <w:jc w:val="center"/>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0</w:t>
            </w:r>
          </w:p>
        </w:tc>
      </w:tr>
      <w:tr>
        <w:tblPrEx>
          <w:tblCellMar>
            <w:top w:w="0" w:type="dxa"/>
            <w:left w:w="0" w:type="dxa"/>
            <w:bottom w:w="0" w:type="dxa"/>
            <w:right w:w="0" w:type="dxa"/>
          </w:tblCellMar>
        </w:tblPrEx>
        <w:trPr>
          <w:trHeight w:val="251" w:hRule="atLeast"/>
          <w:jc w:val="center"/>
        </w:trPr>
        <w:tc>
          <w:tcPr>
            <w:tcW w:w="8680" w:type="dxa"/>
            <w:gridSpan w:val="4"/>
            <w:tcBorders>
              <w:top w:val="single" w:color="auto" w:sz="8" w:space="0"/>
              <w:left w:val="single" w:color="auto" w:sz="8" w:space="0"/>
              <w:bottom w:val="single" w:color="auto" w:sz="8" w:space="0"/>
              <w:right w:val="single" w:color="auto" w:sz="8" w:space="0"/>
            </w:tcBorders>
            <w:noWrap w:val="0"/>
            <w:vAlign w:val="top"/>
          </w:tcPr>
          <w:p>
            <w:pPr>
              <w:pStyle w:val="6"/>
              <w:keepNext w:val="0"/>
              <w:keepLines w:val="0"/>
              <w:widowControl/>
              <w:suppressLineNumbers w:val="0"/>
              <w:jc w:val="center"/>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第二十条第（六）项</w:t>
            </w:r>
          </w:p>
        </w:tc>
      </w:tr>
      <w:tr>
        <w:tblPrEx>
          <w:tblCellMar>
            <w:top w:w="0" w:type="dxa"/>
            <w:left w:w="0" w:type="dxa"/>
            <w:bottom w:w="0" w:type="dxa"/>
            <w:right w:w="0" w:type="dxa"/>
          </w:tblCellMar>
        </w:tblPrEx>
        <w:trPr>
          <w:trHeight w:val="251" w:hRule="atLeast"/>
          <w:jc w:val="center"/>
        </w:trPr>
        <w:tc>
          <w:tcPr>
            <w:tcW w:w="2559" w:type="dxa"/>
            <w:tcBorders>
              <w:top w:val="single" w:color="auto" w:sz="8" w:space="0"/>
              <w:left w:val="single" w:color="auto" w:sz="8" w:space="0"/>
              <w:bottom w:val="single" w:color="auto" w:sz="8" w:space="0"/>
              <w:right w:val="single" w:color="auto" w:sz="8" w:space="0"/>
            </w:tcBorders>
            <w:noWrap w:val="0"/>
            <w:vAlign w:val="top"/>
          </w:tcPr>
          <w:p>
            <w:pPr>
              <w:pStyle w:val="6"/>
              <w:keepNext w:val="0"/>
              <w:keepLines w:val="0"/>
              <w:widowControl/>
              <w:suppressLineNumbers w:val="0"/>
              <w:jc w:val="center"/>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信息内容</w:t>
            </w:r>
          </w:p>
        </w:tc>
        <w:tc>
          <w:tcPr>
            <w:tcW w:w="6121" w:type="dxa"/>
            <w:gridSpan w:val="3"/>
            <w:tcBorders>
              <w:top w:val="single" w:color="auto" w:sz="8" w:space="0"/>
              <w:left w:val="single" w:color="auto" w:sz="8" w:space="0"/>
              <w:bottom w:val="single" w:color="auto" w:sz="8" w:space="0"/>
              <w:right w:val="single" w:color="auto" w:sz="8" w:space="0"/>
            </w:tcBorders>
            <w:noWrap w:val="0"/>
            <w:vAlign w:val="top"/>
          </w:tcPr>
          <w:p>
            <w:pPr>
              <w:pStyle w:val="6"/>
              <w:keepNext w:val="0"/>
              <w:keepLines w:val="0"/>
              <w:widowControl/>
              <w:suppressLineNumbers w:val="0"/>
              <w:jc w:val="center"/>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lang w:eastAsia="zh-CN"/>
              </w:rPr>
              <w:t>本年</w:t>
            </w:r>
            <w:r>
              <w:rPr>
                <w:rFonts w:hint="eastAsia" w:ascii="仿宋_GB2312" w:hAnsi="仿宋_GB2312" w:eastAsia="仿宋_GB2312" w:cs="仿宋_GB2312"/>
                <w:color w:val="333333"/>
                <w:sz w:val="21"/>
                <w:szCs w:val="21"/>
              </w:rPr>
              <w:t>处理决定数量</w:t>
            </w:r>
          </w:p>
        </w:tc>
      </w:tr>
      <w:tr>
        <w:tblPrEx>
          <w:tblCellMar>
            <w:top w:w="0" w:type="dxa"/>
            <w:left w:w="0" w:type="dxa"/>
            <w:bottom w:w="0" w:type="dxa"/>
            <w:right w:w="0" w:type="dxa"/>
          </w:tblCellMar>
        </w:tblPrEx>
        <w:trPr>
          <w:trHeight w:val="291" w:hRule="atLeast"/>
          <w:jc w:val="center"/>
        </w:trPr>
        <w:tc>
          <w:tcPr>
            <w:tcW w:w="2559" w:type="dxa"/>
            <w:tcBorders>
              <w:top w:val="single" w:color="auto" w:sz="8" w:space="0"/>
              <w:left w:val="single" w:color="auto" w:sz="8" w:space="0"/>
              <w:bottom w:val="single" w:color="auto" w:sz="8" w:space="0"/>
              <w:right w:val="single" w:color="auto" w:sz="8" w:space="0"/>
            </w:tcBorders>
            <w:noWrap w:val="0"/>
            <w:vAlign w:val="top"/>
          </w:tcPr>
          <w:p>
            <w:pPr>
              <w:pStyle w:val="6"/>
              <w:keepNext w:val="0"/>
              <w:keepLines w:val="0"/>
              <w:widowControl/>
              <w:suppressLineNumbers w:val="0"/>
              <w:jc w:val="center"/>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行政处罚</w:t>
            </w:r>
          </w:p>
        </w:tc>
        <w:tc>
          <w:tcPr>
            <w:tcW w:w="6121" w:type="dxa"/>
            <w:gridSpan w:val="3"/>
            <w:tcBorders>
              <w:top w:val="single" w:color="auto" w:sz="8" w:space="0"/>
              <w:left w:val="single" w:color="auto" w:sz="8" w:space="0"/>
              <w:bottom w:val="single" w:color="auto" w:sz="8" w:space="0"/>
              <w:right w:val="single" w:color="auto" w:sz="8" w:space="0"/>
            </w:tcBorders>
            <w:noWrap w:val="0"/>
            <w:vAlign w:val="top"/>
          </w:tcPr>
          <w:p>
            <w:pPr>
              <w:pStyle w:val="6"/>
              <w:keepNext w:val="0"/>
              <w:keepLines w:val="0"/>
              <w:widowControl/>
              <w:suppressLineNumbers w:val="0"/>
              <w:jc w:val="center"/>
              <w:rPr>
                <w:rFonts w:hint="eastAsia" w:ascii="仿宋_GB2312" w:hAnsi="仿宋_GB2312" w:eastAsia="仿宋_GB2312" w:cs="仿宋_GB2312"/>
                <w:color w:val="333333"/>
                <w:sz w:val="21"/>
                <w:szCs w:val="21"/>
                <w:lang w:eastAsia="zh-CN"/>
              </w:rPr>
            </w:pPr>
            <w:r>
              <w:rPr>
                <w:rFonts w:hint="eastAsia" w:ascii="仿宋_GB2312" w:hAnsi="仿宋_GB2312" w:eastAsia="仿宋_GB2312" w:cs="仿宋_GB2312"/>
                <w:color w:val="333333"/>
                <w:sz w:val="21"/>
                <w:szCs w:val="21"/>
                <w:lang w:val="en-US" w:eastAsia="zh-CN"/>
              </w:rPr>
              <w:t>0</w:t>
            </w:r>
          </w:p>
        </w:tc>
      </w:tr>
      <w:tr>
        <w:tblPrEx>
          <w:tblCellMar>
            <w:top w:w="0" w:type="dxa"/>
            <w:left w:w="0" w:type="dxa"/>
            <w:bottom w:w="0" w:type="dxa"/>
            <w:right w:w="0" w:type="dxa"/>
          </w:tblCellMar>
        </w:tblPrEx>
        <w:trPr>
          <w:trHeight w:val="257" w:hRule="atLeast"/>
          <w:jc w:val="center"/>
        </w:trPr>
        <w:tc>
          <w:tcPr>
            <w:tcW w:w="2559" w:type="dxa"/>
            <w:tcBorders>
              <w:top w:val="single" w:color="auto" w:sz="8" w:space="0"/>
              <w:left w:val="single" w:color="auto" w:sz="8" w:space="0"/>
              <w:bottom w:val="single" w:color="auto" w:sz="8" w:space="0"/>
              <w:right w:val="single" w:color="auto" w:sz="8" w:space="0"/>
            </w:tcBorders>
            <w:noWrap w:val="0"/>
            <w:vAlign w:val="top"/>
          </w:tcPr>
          <w:p>
            <w:pPr>
              <w:pStyle w:val="6"/>
              <w:keepNext w:val="0"/>
              <w:keepLines w:val="0"/>
              <w:widowControl/>
              <w:suppressLineNumbers w:val="0"/>
              <w:jc w:val="center"/>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行政强制</w:t>
            </w:r>
          </w:p>
        </w:tc>
        <w:tc>
          <w:tcPr>
            <w:tcW w:w="6121" w:type="dxa"/>
            <w:gridSpan w:val="3"/>
            <w:tcBorders>
              <w:top w:val="single" w:color="auto" w:sz="8" w:space="0"/>
              <w:left w:val="single" w:color="auto" w:sz="8" w:space="0"/>
              <w:bottom w:val="single" w:color="auto" w:sz="8" w:space="0"/>
              <w:right w:val="single" w:color="auto" w:sz="8" w:space="0"/>
            </w:tcBorders>
            <w:noWrap w:val="0"/>
            <w:vAlign w:val="top"/>
          </w:tcPr>
          <w:p>
            <w:pPr>
              <w:pStyle w:val="6"/>
              <w:keepNext w:val="0"/>
              <w:keepLines w:val="0"/>
              <w:widowControl/>
              <w:suppressLineNumbers w:val="0"/>
              <w:jc w:val="center"/>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0</w:t>
            </w:r>
          </w:p>
        </w:tc>
      </w:tr>
      <w:tr>
        <w:tblPrEx>
          <w:tblCellMar>
            <w:top w:w="0" w:type="dxa"/>
            <w:left w:w="0" w:type="dxa"/>
            <w:bottom w:w="0" w:type="dxa"/>
            <w:right w:w="0" w:type="dxa"/>
          </w:tblCellMar>
        </w:tblPrEx>
        <w:trPr>
          <w:trHeight w:val="251" w:hRule="atLeast"/>
          <w:jc w:val="center"/>
        </w:trPr>
        <w:tc>
          <w:tcPr>
            <w:tcW w:w="8680" w:type="dxa"/>
            <w:gridSpan w:val="4"/>
            <w:tcBorders>
              <w:top w:val="single" w:color="auto" w:sz="8" w:space="0"/>
              <w:left w:val="single" w:color="auto" w:sz="8" w:space="0"/>
              <w:bottom w:val="single" w:color="auto" w:sz="8" w:space="0"/>
              <w:right w:val="single" w:color="auto" w:sz="8" w:space="0"/>
            </w:tcBorders>
            <w:noWrap w:val="0"/>
            <w:vAlign w:val="top"/>
          </w:tcPr>
          <w:p>
            <w:pPr>
              <w:pStyle w:val="6"/>
              <w:keepNext w:val="0"/>
              <w:keepLines w:val="0"/>
              <w:widowControl/>
              <w:suppressLineNumbers w:val="0"/>
              <w:jc w:val="center"/>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第二十条第（八）项</w:t>
            </w:r>
          </w:p>
        </w:tc>
      </w:tr>
      <w:tr>
        <w:tblPrEx>
          <w:tblCellMar>
            <w:top w:w="0" w:type="dxa"/>
            <w:left w:w="0" w:type="dxa"/>
            <w:bottom w:w="0" w:type="dxa"/>
            <w:right w:w="0" w:type="dxa"/>
          </w:tblCellMar>
        </w:tblPrEx>
        <w:trPr>
          <w:trHeight w:val="251" w:hRule="atLeast"/>
          <w:jc w:val="center"/>
        </w:trPr>
        <w:tc>
          <w:tcPr>
            <w:tcW w:w="2559" w:type="dxa"/>
            <w:tcBorders>
              <w:top w:val="single" w:color="auto" w:sz="8" w:space="0"/>
              <w:left w:val="single" w:color="auto" w:sz="8" w:space="0"/>
              <w:bottom w:val="single" w:color="auto" w:sz="8" w:space="0"/>
              <w:right w:val="single" w:color="auto" w:sz="8" w:space="0"/>
            </w:tcBorders>
            <w:noWrap w:val="0"/>
            <w:vAlign w:val="top"/>
          </w:tcPr>
          <w:p>
            <w:pPr>
              <w:pStyle w:val="6"/>
              <w:keepNext w:val="0"/>
              <w:keepLines w:val="0"/>
              <w:widowControl/>
              <w:suppressLineNumbers w:val="0"/>
              <w:jc w:val="center"/>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信息内容</w:t>
            </w:r>
          </w:p>
        </w:tc>
        <w:tc>
          <w:tcPr>
            <w:tcW w:w="6121" w:type="dxa"/>
            <w:gridSpan w:val="3"/>
            <w:tcBorders>
              <w:top w:val="single" w:color="auto" w:sz="8" w:space="0"/>
              <w:left w:val="single" w:color="auto" w:sz="8" w:space="0"/>
              <w:bottom w:val="single" w:color="auto" w:sz="8" w:space="0"/>
              <w:right w:val="single" w:color="auto" w:sz="8" w:space="0"/>
            </w:tcBorders>
            <w:noWrap w:val="0"/>
            <w:vAlign w:val="top"/>
          </w:tcPr>
          <w:p>
            <w:pPr>
              <w:pStyle w:val="6"/>
              <w:keepNext w:val="0"/>
              <w:keepLines w:val="0"/>
              <w:widowControl/>
              <w:suppressLineNumbers w:val="0"/>
              <w:jc w:val="center"/>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lang w:val="en-US" w:eastAsia="zh-CN"/>
              </w:rPr>
              <w:t>本年收费金额</w:t>
            </w:r>
          </w:p>
        </w:tc>
      </w:tr>
      <w:tr>
        <w:tblPrEx>
          <w:tblCellMar>
            <w:top w:w="0" w:type="dxa"/>
            <w:left w:w="0" w:type="dxa"/>
            <w:bottom w:w="0" w:type="dxa"/>
            <w:right w:w="0" w:type="dxa"/>
          </w:tblCellMar>
        </w:tblPrEx>
        <w:trPr>
          <w:trHeight w:val="266" w:hRule="atLeast"/>
          <w:jc w:val="center"/>
        </w:trPr>
        <w:tc>
          <w:tcPr>
            <w:tcW w:w="2559" w:type="dxa"/>
            <w:tcBorders>
              <w:top w:val="single" w:color="auto" w:sz="8" w:space="0"/>
              <w:left w:val="single" w:color="auto" w:sz="8" w:space="0"/>
              <w:bottom w:val="single" w:color="auto" w:sz="8" w:space="0"/>
              <w:right w:val="single" w:color="auto" w:sz="8" w:space="0"/>
            </w:tcBorders>
            <w:noWrap w:val="0"/>
            <w:vAlign w:val="top"/>
          </w:tcPr>
          <w:p>
            <w:pPr>
              <w:pStyle w:val="6"/>
              <w:keepNext w:val="0"/>
              <w:keepLines w:val="0"/>
              <w:widowControl/>
              <w:suppressLineNumbers w:val="0"/>
              <w:jc w:val="center"/>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行政事业性收费</w:t>
            </w:r>
          </w:p>
        </w:tc>
        <w:tc>
          <w:tcPr>
            <w:tcW w:w="6121" w:type="dxa"/>
            <w:gridSpan w:val="3"/>
            <w:tcBorders>
              <w:top w:val="single" w:color="auto" w:sz="8" w:space="0"/>
              <w:left w:val="single" w:color="auto" w:sz="8" w:space="0"/>
              <w:bottom w:val="single" w:color="auto" w:sz="8" w:space="0"/>
              <w:right w:val="single" w:color="auto" w:sz="8" w:space="0"/>
            </w:tcBorders>
            <w:noWrap w:val="0"/>
            <w:vAlign w:val="top"/>
          </w:tcPr>
          <w:p>
            <w:pPr>
              <w:pStyle w:val="6"/>
              <w:keepNext w:val="0"/>
              <w:keepLines w:val="0"/>
              <w:widowControl/>
              <w:suppressLineNumbers w:val="0"/>
              <w:jc w:val="center"/>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0</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三、收到和处理政府信息公开申请情况</w:t>
      </w:r>
    </w:p>
    <w:tbl>
      <w:tblPr>
        <w:tblStyle w:val="12"/>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06"/>
        <w:gridCol w:w="720"/>
        <w:gridCol w:w="3124"/>
        <w:gridCol w:w="639"/>
        <w:gridCol w:w="639"/>
        <w:gridCol w:w="637"/>
        <w:gridCol w:w="638"/>
        <w:gridCol w:w="639"/>
        <w:gridCol w:w="672"/>
        <w:gridCol w:w="6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2" w:hRule="atLeast"/>
          <w:jc w:val="center"/>
        </w:trPr>
        <w:tc>
          <w:tcPr>
            <w:tcW w:w="4450" w:type="dxa"/>
            <w:gridSpan w:val="3"/>
            <w:vMerge w:val="restart"/>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color w:val="000000"/>
              </w:rPr>
            </w:pPr>
            <w:r>
              <w:rPr>
                <w:rFonts w:hint="eastAsia" w:ascii="楷体_GB2312" w:hAnsi="楷体_GB2312" w:eastAsia="楷体_GB2312" w:cs="楷体_GB2312"/>
                <w:color w:val="000000"/>
                <w:sz w:val="20"/>
                <w:szCs w:val="20"/>
              </w:rPr>
              <w:t>（本列数据的勾稽关系为：第一项加第二项之和，等于第三项加第四项之和）</w:t>
            </w:r>
          </w:p>
        </w:tc>
        <w:tc>
          <w:tcPr>
            <w:tcW w:w="4550" w:type="dxa"/>
            <w:gridSpan w:val="7"/>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color w:val="000000"/>
                <w:sz w:val="20"/>
                <w:szCs w:val="20"/>
              </w:rPr>
            </w:pPr>
            <w:r>
              <w:rPr>
                <w:color w:val="000000"/>
                <w:sz w:val="20"/>
                <w:szCs w:val="20"/>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2" w:hRule="atLeast"/>
          <w:jc w:val="center"/>
        </w:trPr>
        <w:tc>
          <w:tcPr>
            <w:tcW w:w="4450" w:type="dxa"/>
            <w:gridSpan w:val="3"/>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p>
        </w:tc>
        <w:tc>
          <w:tcPr>
            <w:tcW w:w="639" w:type="dxa"/>
            <w:vMerge w:val="restart"/>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color w:val="000000"/>
                <w:sz w:val="20"/>
                <w:szCs w:val="20"/>
              </w:rPr>
            </w:pPr>
            <w:r>
              <w:rPr>
                <w:color w:val="000000"/>
                <w:sz w:val="20"/>
                <w:szCs w:val="20"/>
              </w:rPr>
              <w:t>自然人</w:t>
            </w:r>
          </w:p>
        </w:tc>
        <w:tc>
          <w:tcPr>
            <w:tcW w:w="3225" w:type="dxa"/>
            <w:gridSpan w:val="5"/>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color w:val="000000"/>
                <w:sz w:val="20"/>
                <w:szCs w:val="20"/>
              </w:rPr>
            </w:pPr>
            <w:r>
              <w:rPr>
                <w:color w:val="000000"/>
                <w:sz w:val="20"/>
                <w:szCs w:val="20"/>
              </w:rPr>
              <w:t>法人或其他组织</w:t>
            </w:r>
          </w:p>
        </w:tc>
        <w:tc>
          <w:tcPr>
            <w:tcW w:w="686" w:type="dxa"/>
            <w:vMerge w:val="restart"/>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color w:val="000000"/>
                <w:sz w:val="20"/>
                <w:szCs w:val="20"/>
              </w:rPr>
            </w:pPr>
            <w:r>
              <w:rPr>
                <w:color w:val="000000"/>
                <w:sz w:val="20"/>
                <w:szCs w:val="2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6" w:hRule="atLeast"/>
          <w:jc w:val="center"/>
        </w:trPr>
        <w:tc>
          <w:tcPr>
            <w:tcW w:w="4450" w:type="dxa"/>
            <w:gridSpan w:val="3"/>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p>
        </w:tc>
        <w:tc>
          <w:tcPr>
            <w:tcW w:w="639"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0"/>
                <w:szCs w:val="20"/>
              </w:rPr>
            </w:pP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color w:val="000000"/>
                <w:sz w:val="20"/>
                <w:szCs w:val="20"/>
              </w:rPr>
            </w:pPr>
            <w:r>
              <w:rPr>
                <w:color w:val="000000"/>
                <w:sz w:val="20"/>
                <w:szCs w:val="20"/>
              </w:rPr>
              <w:t>商业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color w:val="000000"/>
                <w:sz w:val="20"/>
                <w:szCs w:val="20"/>
              </w:rPr>
            </w:pPr>
            <w:r>
              <w:rPr>
                <w:color w:val="000000"/>
                <w:sz w:val="20"/>
                <w:szCs w:val="20"/>
              </w:rPr>
              <w:t>企业</w:t>
            </w:r>
          </w:p>
        </w:tc>
        <w:tc>
          <w:tcPr>
            <w:tcW w:w="637"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color w:val="000000"/>
                <w:sz w:val="20"/>
                <w:szCs w:val="20"/>
              </w:rPr>
            </w:pPr>
            <w:r>
              <w:rPr>
                <w:color w:val="000000"/>
                <w:sz w:val="20"/>
                <w:szCs w:val="20"/>
              </w:rPr>
              <w:t>科研</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color w:val="000000"/>
                <w:sz w:val="20"/>
                <w:szCs w:val="20"/>
              </w:rPr>
            </w:pPr>
            <w:r>
              <w:rPr>
                <w:color w:val="000000"/>
                <w:sz w:val="20"/>
                <w:szCs w:val="20"/>
              </w:rPr>
              <w:t>机构</w:t>
            </w:r>
          </w:p>
        </w:tc>
        <w:tc>
          <w:tcPr>
            <w:tcW w:w="638"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color w:val="000000"/>
                <w:sz w:val="20"/>
                <w:szCs w:val="20"/>
              </w:rPr>
            </w:pPr>
            <w:r>
              <w:rPr>
                <w:color w:val="000000"/>
                <w:sz w:val="20"/>
                <w:szCs w:val="20"/>
              </w:rPr>
              <w:t>社会公益组织</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color w:val="000000"/>
                <w:sz w:val="20"/>
                <w:szCs w:val="20"/>
              </w:rPr>
            </w:pPr>
            <w:r>
              <w:rPr>
                <w:color w:val="000000"/>
                <w:sz w:val="20"/>
                <w:szCs w:val="20"/>
              </w:rPr>
              <w:t>法律服务机构</w:t>
            </w:r>
          </w:p>
        </w:tc>
        <w:tc>
          <w:tcPr>
            <w:tcW w:w="672"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color w:val="000000"/>
                <w:sz w:val="20"/>
                <w:szCs w:val="20"/>
              </w:rPr>
            </w:pPr>
            <w:r>
              <w:rPr>
                <w:color w:val="000000"/>
                <w:sz w:val="20"/>
                <w:szCs w:val="20"/>
              </w:rPr>
              <w:t>其他</w:t>
            </w:r>
          </w:p>
        </w:tc>
        <w:tc>
          <w:tcPr>
            <w:tcW w:w="686"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2" w:hRule="atLeast"/>
          <w:jc w:val="center"/>
        </w:trPr>
        <w:tc>
          <w:tcPr>
            <w:tcW w:w="4450" w:type="dxa"/>
            <w:gridSpan w:val="3"/>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一、本年新收政府信息公开申请数量</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eastAsia="宋体"/>
                <w:color w:val="000000"/>
                <w:sz w:val="24"/>
                <w:szCs w:val="24"/>
                <w:lang w:val="en-US" w:eastAsia="zh-CN"/>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eastAsia="宋体"/>
                <w:color w:val="000000"/>
                <w:sz w:val="24"/>
                <w:szCs w:val="24"/>
                <w:lang w:val="en-US" w:eastAsia="zh-CN"/>
              </w:rPr>
            </w:pPr>
            <w:r>
              <w:rPr>
                <w:rFonts w:hint="eastAsia" w:ascii="宋体"/>
                <w:color w:val="000000"/>
                <w:sz w:val="24"/>
                <w:szCs w:val="24"/>
                <w:lang w:val="en-US" w:eastAsia="zh-CN"/>
              </w:rPr>
              <w:t>0</w:t>
            </w:r>
          </w:p>
        </w:tc>
        <w:tc>
          <w:tcPr>
            <w:tcW w:w="637"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eastAsia="宋体"/>
                <w:color w:val="000000"/>
                <w:sz w:val="24"/>
                <w:szCs w:val="24"/>
                <w:lang w:val="en-US" w:eastAsia="zh-CN"/>
              </w:rPr>
            </w:pPr>
            <w:r>
              <w:rPr>
                <w:rFonts w:hint="eastAsia" w:ascii="宋体"/>
                <w:color w:val="000000"/>
                <w:sz w:val="24"/>
                <w:szCs w:val="24"/>
                <w:lang w:val="en-US" w:eastAsia="zh-CN"/>
              </w:rPr>
              <w:t>0</w:t>
            </w:r>
          </w:p>
        </w:tc>
        <w:tc>
          <w:tcPr>
            <w:tcW w:w="638"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eastAsia="宋体"/>
                <w:color w:val="000000"/>
                <w:sz w:val="24"/>
                <w:szCs w:val="24"/>
                <w:lang w:val="en-US" w:eastAsia="zh-CN"/>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eastAsia="宋体"/>
                <w:color w:val="000000"/>
                <w:sz w:val="24"/>
                <w:szCs w:val="24"/>
                <w:lang w:val="en-US" w:eastAsia="zh-CN"/>
              </w:rPr>
            </w:pPr>
            <w:r>
              <w:rPr>
                <w:rFonts w:hint="eastAsia" w:ascii="宋体"/>
                <w:color w:val="000000"/>
                <w:sz w:val="24"/>
                <w:szCs w:val="24"/>
                <w:lang w:val="en-US" w:eastAsia="zh-CN"/>
              </w:rPr>
              <w:t>0</w:t>
            </w:r>
          </w:p>
        </w:tc>
        <w:tc>
          <w:tcPr>
            <w:tcW w:w="672"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eastAsia="宋体"/>
                <w:color w:val="000000"/>
                <w:sz w:val="24"/>
                <w:szCs w:val="24"/>
                <w:lang w:val="en-US" w:eastAsia="zh-CN"/>
              </w:rPr>
            </w:pPr>
            <w:r>
              <w:rPr>
                <w:rFonts w:hint="eastAsia" w:ascii="宋体"/>
                <w:color w:val="000000"/>
                <w:sz w:val="24"/>
                <w:szCs w:val="24"/>
                <w:lang w:val="en-US" w:eastAsia="zh-CN"/>
              </w:rPr>
              <w:t>0</w:t>
            </w:r>
          </w:p>
        </w:tc>
        <w:tc>
          <w:tcPr>
            <w:tcW w:w="686"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eastAsia="宋体"/>
                <w:color w:val="000000"/>
                <w:sz w:val="24"/>
                <w:szCs w:val="24"/>
                <w:lang w:val="en-US" w:eastAsia="zh-CN"/>
              </w:rPr>
            </w:pPr>
            <w:r>
              <w:rPr>
                <w:rFonts w:hint="eastAsia" w:ascii="宋体"/>
                <w:color w:val="00000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2" w:hRule="atLeast"/>
          <w:jc w:val="center"/>
        </w:trPr>
        <w:tc>
          <w:tcPr>
            <w:tcW w:w="4450" w:type="dxa"/>
            <w:gridSpan w:val="3"/>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二、上年结转政府信息公开申请数量</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7"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8"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72"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86"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2" w:hRule="atLeast"/>
          <w:jc w:val="center"/>
        </w:trPr>
        <w:tc>
          <w:tcPr>
            <w:tcW w:w="606" w:type="dxa"/>
            <w:vMerge w:val="restart"/>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三、本年度办理结果</w:t>
            </w:r>
          </w:p>
        </w:tc>
        <w:tc>
          <w:tcPr>
            <w:tcW w:w="3844" w:type="dxa"/>
            <w:gridSpan w:val="2"/>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（一）予以公开</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7"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8"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72"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86"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6" w:hRule="atLeast"/>
          <w:jc w:val="center"/>
        </w:trPr>
        <w:tc>
          <w:tcPr>
            <w:tcW w:w="606"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3844" w:type="dxa"/>
            <w:gridSpan w:val="2"/>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（二）部分公开</w:t>
            </w:r>
            <w:r>
              <w:rPr>
                <w:rFonts w:hint="eastAsia" w:ascii="楷体_GB2312" w:hAnsi="楷体_GB2312" w:eastAsia="楷体_GB2312" w:cs="楷体_GB2312"/>
                <w:color w:val="000000"/>
                <w:sz w:val="20"/>
                <w:szCs w:val="20"/>
              </w:rPr>
              <w:t>（区分处理的，只计这一情形，不计其他情形）</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7"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8"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72"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86"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2" w:hRule="atLeast"/>
          <w:jc w:val="center"/>
        </w:trPr>
        <w:tc>
          <w:tcPr>
            <w:tcW w:w="606"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720" w:type="dxa"/>
            <w:vMerge w:val="restart"/>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（三）不予公开</w:t>
            </w:r>
          </w:p>
        </w:tc>
        <w:tc>
          <w:tcPr>
            <w:tcW w:w="3124"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top"/>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1.属于国家秘密</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7"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8"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72"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86"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2" w:hRule="atLeast"/>
          <w:jc w:val="center"/>
        </w:trPr>
        <w:tc>
          <w:tcPr>
            <w:tcW w:w="606"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720"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3124"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top"/>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2.其他法律行政法规禁止公开</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7"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8"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72"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86"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2" w:hRule="atLeast"/>
          <w:jc w:val="center"/>
        </w:trPr>
        <w:tc>
          <w:tcPr>
            <w:tcW w:w="606"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720"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3124"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top"/>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3.危及“三安全一稳定”</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7"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8"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72"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86"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2" w:hRule="atLeast"/>
          <w:jc w:val="center"/>
        </w:trPr>
        <w:tc>
          <w:tcPr>
            <w:tcW w:w="606"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720"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3124"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top"/>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4.保护第三方合法权益</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7"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8"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72"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86"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2" w:hRule="atLeast"/>
          <w:jc w:val="center"/>
        </w:trPr>
        <w:tc>
          <w:tcPr>
            <w:tcW w:w="606"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720"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3124"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top"/>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5.属于三类内部事务信息</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7"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8"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72"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86"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2" w:hRule="atLeast"/>
          <w:jc w:val="center"/>
        </w:trPr>
        <w:tc>
          <w:tcPr>
            <w:tcW w:w="606"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720"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3124"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top"/>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6.属于四类过程性信息</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7"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8"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72"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86"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2" w:hRule="atLeast"/>
          <w:jc w:val="center"/>
        </w:trPr>
        <w:tc>
          <w:tcPr>
            <w:tcW w:w="606"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720"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3124"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top"/>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7.属于行政执法案卷</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7"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8"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72"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86"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2" w:hRule="atLeast"/>
          <w:jc w:val="center"/>
        </w:trPr>
        <w:tc>
          <w:tcPr>
            <w:tcW w:w="606"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720"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3124"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top"/>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8.属于行政查询事项</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7"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8"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72"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86"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2" w:hRule="atLeast"/>
          <w:jc w:val="center"/>
        </w:trPr>
        <w:tc>
          <w:tcPr>
            <w:tcW w:w="606"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720" w:type="dxa"/>
            <w:vMerge w:val="restart"/>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（四）无法提供</w:t>
            </w:r>
          </w:p>
        </w:tc>
        <w:tc>
          <w:tcPr>
            <w:tcW w:w="3124"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top"/>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1.本机关不掌握相关政府信息</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7"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8"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72"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86"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2" w:hRule="atLeast"/>
          <w:jc w:val="center"/>
        </w:trPr>
        <w:tc>
          <w:tcPr>
            <w:tcW w:w="606"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720"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3124"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top"/>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2.没有现成信息需要另行制作</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7"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8"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72"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86"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2" w:hRule="atLeast"/>
          <w:jc w:val="center"/>
        </w:trPr>
        <w:tc>
          <w:tcPr>
            <w:tcW w:w="606"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720"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3124"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top"/>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3.补正后申请内容仍不明确</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7"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8"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72"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86"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2" w:hRule="atLeast"/>
          <w:jc w:val="center"/>
        </w:trPr>
        <w:tc>
          <w:tcPr>
            <w:tcW w:w="606"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720" w:type="dxa"/>
            <w:vMerge w:val="restart"/>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（五）不予处理</w:t>
            </w:r>
          </w:p>
        </w:tc>
        <w:tc>
          <w:tcPr>
            <w:tcW w:w="3124"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top"/>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1.信访举报投诉类申请</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7"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8"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72"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86"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2" w:hRule="atLeast"/>
          <w:jc w:val="center"/>
        </w:trPr>
        <w:tc>
          <w:tcPr>
            <w:tcW w:w="606"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720"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3124"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top"/>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2.重复申请</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7"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8"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72"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86"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2" w:hRule="atLeast"/>
          <w:jc w:val="center"/>
        </w:trPr>
        <w:tc>
          <w:tcPr>
            <w:tcW w:w="606"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720"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3124"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top"/>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3.要求提供公开出版物</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7"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8"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72"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86"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2" w:hRule="atLeast"/>
          <w:jc w:val="center"/>
        </w:trPr>
        <w:tc>
          <w:tcPr>
            <w:tcW w:w="606"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720"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3124"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top"/>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4.无正当理由大量反复申请</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7"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8"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72"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86"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6" w:hRule="atLeast"/>
          <w:jc w:val="center"/>
        </w:trPr>
        <w:tc>
          <w:tcPr>
            <w:tcW w:w="606"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720"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3124"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5.要求行政机关确认或重新出具已获取信息</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7"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8"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72"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86"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6" w:hRule="atLeast"/>
          <w:jc w:val="center"/>
        </w:trPr>
        <w:tc>
          <w:tcPr>
            <w:tcW w:w="606"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720" w:type="dxa"/>
            <w:vMerge w:val="restart"/>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（六）其他处理</w:t>
            </w:r>
          </w:p>
        </w:tc>
        <w:tc>
          <w:tcPr>
            <w:tcW w:w="3124"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1.申请人无正当理由逾期不补正、行政机关不再处理其政府信息公开申请</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color w:val="000000"/>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color w:val="000000"/>
              </w:rPr>
            </w:pPr>
            <w:r>
              <w:rPr>
                <w:rFonts w:hint="eastAsia" w:ascii="宋体"/>
                <w:color w:val="000000"/>
                <w:sz w:val="24"/>
                <w:szCs w:val="24"/>
                <w:lang w:val="en-US" w:eastAsia="zh-CN"/>
              </w:rPr>
              <w:t>0</w:t>
            </w:r>
          </w:p>
        </w:tc>
        <w:tc>
          <w:tcPr>
            <w:tcW w:w="637"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color w:val="000000"/>
              </w:rPr>
            </w:pPr>
            <w:r>
              <w:rPr>
                <w:rFonts w:hint="eastAsia" w:ascii="宋体"/>
                <w:color w:val="000000"/>
                <w:sz w:val="24"/>
                <w:szCs w:val="24"/>
                <w:lang w:val="en-US" w:eastAsia="zh-CN"/>
              </w:rPr>
              <w:t>0</w:t>
            </w:r>
          </w:p>
        </w:tc>
        <w:tc>
          <w:tcPr>
            <w:tcW w:w="638"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color w:val="000000"/>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color w:val="000000"/>
              </w:rPr>
            </w:pPr>
            <w:r>
              <w:rPr>
                <w:rFonts w:hint="eastAsia" w:ascii="宋体"/>
                <w:color w:val="000000"/>
                <w:sz w:val="24"/>
                <w:szCs w:val="24"/>
                <w:lang w:val="en-US" w:eastAsia="zh-CN"/>
              </w:rPr>
              <w:t>0</w:t>
            </w:r>
          </w:p>
        </w:tc>
        <w:tc>
          <w:tcPr>
            <w:tcW w:w="672"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color w:val="000000"/>
              </w:rPr>
            </w:pPr>
            <w:r>
              <w:rPr>
                <w:rFonts w:hint="eastAsia" w:ascii="宋体"/>
                <w:color w:val="000000"/>
                <w:sz w:val="24"/>
                <w:szCs w:val="24"/>
                <w:lang w:val="en-US" w:eastAsia="zh-CN"/>
              </w:rPr>
              <w:t>0</w:t>
            </w:r>
          </w:p>
        </w:tc>
        <w:tc>
          <w:tcPr>
            <w:tcW w:w="686"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color w:val="000000"/>
              </w:rPr>
            </w:pPr>
            <w:r>
              <w:rPr>
                <w:rFonts w:hint="eastAsia" w:ascii="宋体"/>
                <w:color w:val="00000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8" w:hRule="atLeast"/>
          <w:jc w:val="center"/>
        </w:trPr>
        <w:tc>
          <w:tcPr>
            <w:tcW w:w="606"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720"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3124"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2.申请人逾期未按收费通知要求缴纳费用、行政机关不再处理其政府信息公开申请</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color w:val="000000"/>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color w:val="000000"/>
              </w:rPr>
            </w:pPr>
            <w:r>
              <w:rPr>
                <w:rFonts w:hint="eastAsia" w:ascii="宋体"/>
                <w:color w:val="000000"/>
                <w:sz w:val="24"/>
                <w:szCs w:val="24"/>
                <w:lang w:val="en-US" w:eastAsia="zh-CN"/>
              </w:rPr>
              <w:t>0</w:t>
            </w:r>
          </w:p>
        </w:tc>
        <w:tc>
          <w:tcPr>
            <w:tcW w:w="637"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color w:val="000000"/>
              </w:rPr>
            </w:pPr>
            <w:r>
              <w:rPr>
                <w:rFonts w:hint="eastAsia" w:ascii="宋体"/>
                <w:color w:val="000000"/>
                <w:sz w:val="24"/>
                <w:szCs w:val="24"/>
                <w:lang w:val="en-US" w:eastAsia="zh-CN"/>
              </w:rPr>
              <w:t>0</w:t>
            </w:r>
          </w:p>
        </w:tc>
        <w:tc>
          <w:tcPr>
            <w:tcW w:w="638"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color w:val="000000"/>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color w:val="000000"/>
              </w:rPr>
            </w:pPr>
            <w:r>
              <w:rPr>
                <w:rFonts w:hint="eastAsia" w:ascii="宋体"/>
                <w:color w:val="000000"/>
                <w:sz w:val="24"/>
                <w:szCs w:val="24"/>
                <w:lang w:val="en-US" w:eastAsia="zh-CN"/>
              </w:rPr>
              <w:t>0</w:t>
            </w:r>
          </w:p>
        </w:tc>
        <w:tc>
          <w:tcPr>
            <w:tcW w:w="672"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color w:val="000000"/>
              </w:rPr>
            </w:pPr>
            <w:r>
              <w:rPr>
                <w:rFonts w:hint="eastAsia" w:ascii="宋体"/>
                <w:color w:val="000000"/>
                <w:sz w:val="24"/>
                <w:szCs w:val="24"/>
                <w:lang w:val="en-US" w:eastAsia="zh-CN"/>
              </w:rPr>
              <w:t>0</w:t>
            </w:r>
          </w:p>
        </w:tc>
        <w:tc>
          <w:tcPr>
            <w:tcW w:w="686"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color w:val="000000"/>
              </w:rPr>
            </w:pPr>
            <w:r>
              <w:rPr>
                <w:rFonts w:hint="eastAsia" w:ascii="宋体"/>
                <w:color w:val="00000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7" w:hRule="atLeast"/>
          <w:jc w:val="center"/>
        </w:trPr>
        <w:tc>
          <w:tcPr>
            <w:tcW w:w="606"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720"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3124"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3.其他</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7"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8"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72"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86"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3" w:hRule="atLeast"/>
          <w:jc w:val="center"/>
        </w:trPr>
        <w:tc>
          <w:tcPr>
            <w:tcW w:w="606" w:type="dxa"/>
            <w:vMerge w:val="continue"/>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0"/>
                <w:szCs w:val="20"/>
              </w:rPr>
            </w:pPr>
          </w:p>
        </w:tc>
        <w:tc>
          <w:tcPr>
            <w:tcW w:w="3844" w:type="dxa"/>
            <w:gridSpan w:val="2"/>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（七）总计</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7"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8"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72"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86"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0" w:hRule="atLeast"/>
          <w:jc w:val="center"/>
        </w:trPr>
        <w:tc>
          <w:tcPr>
            <w:tcW w:w="4450" w:type="dxa"/>
            <w:gridSpan w:val="3"/>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outlineLvl w:val="9"/>
              <w:rPr>
                <w:rFonts w:hint="eastAsia" w:ascii="宋体" w:hAnsi="宋体" w:eastAsia="宋体" w:cs="宋体"/>
                <w:color w:val="000000"/>
                <w:sz w:val="20"/>
                <w:szCs w:val="20"/>
              </w:rPr>
            </w:pPr>
            <w:r>
              <w:rPr>
                <w:rFonts w:hint="eastAsia" w:ascii="宋体" w:hAnsi="宋体" w:eastAsia="宋体" w:cs="宋体"/>
                <w:color w:val="000000"/>
                <w:sz w:val="20"/>
                <w:szCs w:val="20"/>
              </w:rPr>
              <w:t>四、结转下年度继续办理</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7"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8"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72"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c>
          <w:tcPr>
            <w:tcW w:w="686" w:type="dxa"/>
            <w:tcBorders>
              <w:top w:val="single" w:color="666666" w:sz="6" w:space="0"/>
              <w:left w:val="single" w:color="666666" w:sz="6" w:space="0"/>
              <w:bottom w:val="single" w:color="666666" w:sz="6" w:space="0"/>
              <w:right w:val="single" w:color="666666" w:sz="6" w:space="0"/>
            </w:tcBorders>
            <w:noWrap w:val="0"/>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color w:val="000000"/>
                <w:sz w:val="24"/>
                <w:szCs w:val="24"/>
              </w:rPr>
            </w:pPr>
            <w:r>
              <w:rPr>
                <w:rFonts w:hint="eastAsia" w:ascii="宋体"/>
                <w:color w:val="000000"/>
                <w:sz w:val="24"/>
                <w:szCs w:val="24"/>
                <w:lang w:val="en-US" w:eastAsia="zh-CN"/>
              </w:rPr>
              <w:t>0</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sz w:val="32"/>
          <w:szCs w:val="32"/>
          <w:highlight w:val="none"/>
          <w:lang w:val="en" w:eastAsia="zh-CN"/>
        </w:rPr>
      </w:pPr>
      <w:r>
        <w:rPr>
          <w:rFonts w:hint="eastAsia" w:ascii="黑体" w:hAnsi="黑体" w:eastAsia="黑体" w:cs="黑体"/>
          <w:b w:val="0"/>
          <w:bCs/>
          <w:sz w:val="32"/>
          <w:szCs w:val="32"/>
          <w:highlight w:val="none"/>
          <w:lang w:val="en" w:eastAsia="zh-CN"/>
        </w:rPr>
        <w:t>四、政府信息公开行政复议、行政诉讼情况</w:t>
      </w:r>
    </w:p>
    <w:tbl>
      <w:tblPr>
        <w:tblStyle w:val="7"/>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38"/>
        <w:gridCol w:w="638"/>
        <w:gridCol w:w="638"/>
        <w:gridCol w:w="638"/>
        <w:gridCol w:w="449"/>
        <w:gridCol w:w="676"/>
        <w:gridCol w:w="675"/>
        <w:gridCol w:w="676"/>
        <w:gridCol w:w="618"/>
        <w:gridCol w:w="405"/>
        <w:gridCol w:w="644"/>
        <w:gridCol w:w="644"/>
        <w:gridCol w:w="655"/>
        <w:gridCol w:w="632"/>
        <w:gridCol w:w="39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2" w:hRule="atLeast"/>
          <w:jc w:val="center"/>
        </w:trPr>
        <w:tc>
          <w:tcPr>
            <w:tcW w:w="3001"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行政复议</w:t>
            </w:r>
          </w:p>
        </w:tc>
        <w:tc>
          <w:tcPr>
            <w:tcW w:w="6019"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2" w:hRule="atLeast"/>
          <w:jc w:val="center"/>
        </w:trPr>
        <w:tc>
          <w:tcPr>
            <w:tcW w:w="63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结果维持</w:t>
            </w:r>
          </w:p>
        </w:tc>
        <w:tc>
          <w:tcPr>
            <w:tcW w:w="63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38"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38"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4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总计</w:t>
            </w:r>
          </w:p>
        </w:tc>
        <w:tc>
          <w:tcPr>
            <w:tcW w:w="305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未经复议直接起诉</w:t>
            </w:r>
          </w:p>
        </w:tc>
        <w:tc>
          <w:tcPr>
            <w:tcW w:w="2969"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6" w:hRule="atLeast"/>
          <w:jc w:val="center"/>
        </w:trPr>
        <w:tc>
          <w:tcPr>
            <w:tcW w:w="638" w:type="dxa"/>
            <w:vMerge w:val="continue"/>
            <w:tcBorders>
              <w:top w:val="nil"/>
              <w:left w:val="single" w:color="auto" w:sz="8" w:space="0"/>
              <w:bottom w:val="single" w:color="auto" w:sz="4"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20" w:lineRule="atLeast"/>
              <w:textAlignment w:val="auto"/>
              <w:outlineLvl w:val="9"/>
              <w:rPr>
                <w:rFonts w:ascii="宋体"/>
                <w:sz w:val="24"/>
                <w:szCs w:val="24"/>
              </w:rPr>
            </w:pPr>
          </w:p>
        </w:tc>
        <w:tc>
          <w:tcPr>
            <w:tcW w:w="638" w:type="dxa"/>
            <w:vMerge w:val="continue"/>
            <w:tcBorders>
              <w:top w:val="nil"/>
              <w:left w:val="single" w:color="auto" w:sz="8" w:space="0"/>
              <w:bottom w:val="single" w:color="auto" w:sz="4"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20" w:lineRule="atLeast"/>
              <w:textAlignment w:val="auto"/>
              <w:outlineLvl w:val="9"/>
              <w:rPr>
                <w:rFonts w:ascii="宋体"/>
                <w:sz w:val="24"/>
                <w:szCs w:val="24"/>
              </w:rPr>
            </w:pPr>
          </w:p>
        </w:tc>
        <w:tc>
          <w:tcPr>
            <w:tcW w:w="638" w:type="dxa"/>
            <w:vMerge w:val="continue"/>
            <w:tcBorders>
              <w:top w:val="single" w:color="auto" w:sz="8" w:space="0"/>
              <w:left w:val="single" w:color="auto" w:sz="8" w:space="0"/>
              <w:bottom w:val="single" w:color="auto" w:sz="4"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20" w:lineRule="atLeast"/>
              <w:textAlignment w:val="auto"/>
              <w:outlineLvl w:val="9"/>
              <w:rPr>
                <w:rFonts w:ascii="宋体"/>
                <w:sz w:val="24"/>
                <w:szCs w:val="24"/>
              </w:rPr>
            </w:pPr>
          </w:p>
        </w:tc>
        <w:tc>
          <w:tcPr>
            <w:tcW w:w="638" w:type="dxa"/>
            <w:vMerge w:val="continue"/>
            <w:tcBorders>
              <w:top w:val="single" w:color="auto" w:sz="8" w:space="0"/>
              <w:left w:val="single" w:color="auto" w:sz="8" w:space="0"/>
              <w:bottom w:val="single" w:color="auto" w:sz="4"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20" w:lineRule="atLeast"/>
              <w:textAlignment w:val="auto"/>
              <w:outlineLvl w:val="9"/>
              <w:rPr>
                <w:rFonts w:ascii="宋体"/>
                <w:sz w:val="24"/>
                <w:szCs w:val="24"/>
              </w:rPr>
            </w:pPr>
          </w:p>
        </w:tc>
        <w:tc>
          <w:tcPr>
            <w:tcW w:w="449" w:type="dxa"/>
            <w:vMerge w:val="continue"/>
            <w:tcBorders>
              <w:top w:val="single" w:color="auto" w:sz="8" w:space="0"/>
              <w:left w:val="single" w:color="auto" w:sz="8" w:space="0"/>
              <w:bottom w:val="single" w:color="auto" w:sz="4"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20" w:lineRule="atLeast"/>
              <w:textAlignment w:val="auto"/>
              <w:outlineLvl w:val="9"/>
              <w:rPr>
                <w:rFonts w:ascii="宋体"/>
                <w:sz w:val="24"/>
                <w:szCs w:val="24"/>
              </w:rPr>
            </w:pPr>
          </w:p>
        </w:tc>
        <w:tc>
          <w:tcPr>
            <w:tcW w:w="676" w:type="dxa"/>
            <w:tcBorders>
              <w:top w:val="nil"/>
              <w:left w:val="single" w:color="auto" w:sz="8" w:space="0"/>
              <w:bottom w:val="single" w:color="auto" w:sz="4"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75" w:type="dxa"/>
            <w:tcBorders>
              <w:top w:val="nil"/>
              <w:left w:val="single" w:color="auto" w:sz="8" w:space="0"/>
              <w:bottom w:val="single" w:color="auto" w:sz="4"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76" w:type="dxa"/>
            <w:tcBorders>
              <w:top w:val="single" w:color="auto" w:sz="8" w:space="0"/>
              <w:left w:val="single" w:color="auto" w:sz="8" w:space="0"/>
              <w:bottom w:val="single" w:color="auto" w:sz="4"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18" w:type="dxa"/>
            <w:tcBorders>
              <w:top w:val="single" w:color="auto" w:sz="8" w:space="0"/>
              <w:left w:val="single" w:color="auto" w:sz="8" w:space="0"/>
              <w:bottom w:val="single" w:color="auto" w:sz="4"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405" w:type="dxa"/>
            <w:tcBorders>
              <w:top w:val="single" w:color="auto" w:sz="8" w:space="0"/>
              <w:left w:val="single" w:color="auto" w:sz="8" w:space="0"/>
              <w:bottom w:val="single" w:color="auto" w:sz="4"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color w:val="000000"/>
                <w:kern w:val="0"/>
                <w:sz w:val="20"/>
                <w:szCs w:val="20"/>
              </w:rPr>
              <w:t>总计</w:t>
            </w:r>
          </w:p>
        </w:tc>
        <w:tc>
          <w:tcPr>
            <w:tcW w:w="644" w:type="dxa"/>
            <w:tcBorders>
              <w:top w:val="single" w:color="auto" w:sz="8" w:space="0"/>
              <w:left w:val="single" w:color="auto" w:sz="8" w:space="0"/>
              <w:bottom w:val="single" w:color="auto" w:sz="4"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4" w:type="dxa"/>
            <w:tcBorders>
              <w:top w:val="single" w:color="auto" w:sz="8" w:space="0"/>
              <w:left w:val="single" w:color="auto" w:sz="8" w:space="0"/>
              <w:bottom w:val="single" w:color="auto" w:sz="4"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5" w:type="dxa"/>
            <w:tcBorders>
              <w:top w:val="single" w:color="auto" w:sz="8" w:space="0"/>
              <w:left w:val="single" w:color="auto" w:sz="8" w:space="0"/>
              <w:bottom w:val="single" w:color="auto" w:sz="4"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32" w:type="dxa"/>
            <w:tcBorders>
              <w:top w:val="single" w:color="auto" w:sz="8" w:space="0"/>
              <w:left w:val="single" w:color="auto" w:sz="8" w:space="0"/>
              <w:bottom w:val="single" w:color="auto" w:sz="4"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394" w:type="dxa"/>
            <w:tcBorders>
              <w:top w:val="single" w:color="auto" w:sz="8" w:space="0"/>
              <w:left w:val="single" w:color="auto" w:sz="8" w:space="0"/>
              <w:bottom w:val="single" w:color="auto" w:sz="4"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1" w:hRule="atLeast"/>
          <w:jc w:val="center"/>
        </w:trPr>
        <w:tc>
          <w:tcPr>
            <w:tcW w:w="63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黑体" w:hAnsi="宋体" w:eastAsia="黑体" w:cs="黑体"/>
                <w:kern w:val="0"/>
                <w:sz w:val="20"/>
                <w:szCs w:val="20"/>
              </w:rPr>
              <w:t>0</w:t>
            </w:r>
          </w:p>
        </w:tc>
        <w:tc>
          <w:tcPr>
            <w:tcW w:w="63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黑体" w:hAnsi="宋体" w:eastAsia="黑体" w:cs="黑体"/>
                <w:kern w:val="0"/>
                <w:sz w:val="20"/>
                <w:szCs w:val="20"/>
              </w:rPr>
              <w:t>0</w:t>
            </w:r>
          </w:p>
        </w:tc>
        <w:tc>
          <w:tcPr>
            <w:tcW w:w="63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黑体" w:hAnsi="宋体" w:eastAsia="黑体" w:cs="黑体"/>
                <w:kern w:val="0"/>
                <w:sz w:val="20"/>
                <w:szCs w:val="20"/>
              </w:rPr>
              <w:t>0</w:t>
            </w:r>
          </w:p>
        </w:tc>
        <w:tc>
          <w:tcPr>
            <w:tcW w:w="63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黑体" w:hAnsi="宋体" w:eastAsia="黑体" w:cs="黑体"/>
                <w:kern w:val="0"/>
                <w:sz w:val="20"/>
                <w:szCs w:val="20"/>
              </w:rPr>
              <w:t>0</w:t>
            </w:r>
          </w:p>
        </w:tc>
        <w:tc>
          <w:tcPr>
            <w:tcW w:w="44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黑体" w:hAnsi="宋体" w:eastAsia="黑体" w:cs="黑体"/>
                <w:kern w:val="0"/>
                <w:sz w:val="20"/>
                <w:szCs w:val="20"/>
              </w:rPr>
              <w:t>0</w:t>
            </w:r>
          </w:p>
        </w:tc>
        <w:tc>
          <w:tcPr>
            <w:tcW w:w="6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黑体" w:hAnsi="宋体" w:eastAsia="黑体" w:cs="黑体"/>
                <w:kern w:val="0"/>
                <w:sz w:val="20"/>
                <w:szCs w:val="20"/>
              </w:rPr>
              <w:t>0</w:t>
            </w:r>
          </w:p>
        </w:tc>
        <w:tc>
          <w:tcPr>
            <w:tcW w:w="6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黑体" w:hAnsi="宋体" w:eastAsia="黑体" w:cs="黑体"/>
                <w:kern w:val="0"/>
                <w:sz w:val="20"/>
                <w:szCs w:val="20"/>
              </w:rPr>
              <w:t>0</w:t>
            </w:r>
          </w:p>
        </w:tc>
        <w:tc>
          <w:tcPr>
            <w:tcW w:w="6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黑体" w:hAnsi="宋体" w:eastAsia="黑体" w:cs="黑体"/>
                <w:kern w:val="0"/>
                <w:sz w:val="20"/>
                <w:szCs w:val="20"/>
              </w:rPr>
              <w:t>0</w:t>
            </w:r>
          </w:p>
        </w:tc>
        <w:tc>
          <w:tcPr>
            <w:tcW w:w="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黑体" w:hAnsi="宋体" w:eastAsia="黑体" w:cs="黑体"/>
                <w:kern w:val="0"/>
                <w:sz w:val="20"/>
                <w:szCs w:val="20"/>
              </w:rPr>
              <w:t>0</w:t>
            </w:r>
          </w:p>
        </w:tc>
        <w:tc>
          <w:tcPr>
            <w:tcW w:w="4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黑体" w:hAnsi="宋体" w:eastAsia="黑体" w:cs="黑体"/>
                <w:kern w:val="0"/>
                <w:sz w:val="20"/>
                <w:szCs w:val="20"/>
              </w:rPr>
              <w:t>0</w:t>
            </w:r>
          </w:p>
        </w:tc>
        <w:tc>
          <w:tcPr>
            <w:tcW w:w="6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黑体" w:hAnsi="宋体" w:eastAsia="黑体" w:cs="黑体"/>
                <w:kern w:val="0"/>
                <w:sz w:val="20"/>
                <w:szCs w:val="20"/>
              </w:rPr>
              <w:t>0</w:t>
            </w:r>
          </w:p>
        </w:tc>
        <w:tc>
          <w:tcPr>
            <w:tcW w:w="6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黑体" w:hAnsi="宋体" w:eastAsia="黑体" w:cs="黑体"/>
                <w:kern w:val="0"/>
                <w:sz w:val="20"/>
                <w:szCs w:val="20"/>
              </w:rPr>
              <w:t>0</w:t>
            </w:r>
          </w:p>
        </w:tc>
        <w:tc>
          <w:tcPr>
            <w:tcW w:w="6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黑体" w:hAnsi="宋体" w:eastAsia="黑体" w:cs="黑体"/>
                <w:kern w:val="0"/>
                <w:sz w:val="20"/>
                <w:szCs w:val="20"/>
              </w:rPr>
              <w:t>0</w:t>
            </w:r>
          </w:p>
        </w:tc>
        <w:tc>
          <w:tcPr>
            <w:tcW w:w="63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20" w:lineRule="atLeast"/>
              <w:jc w:val="center"/>
              <w:textAlignment w:val="auto"/>
              <w:outlineLvl w:val="9"/>
            </w:pPr>
            <w:r>
              <w:rPr>
                <w:rFonts w:hint="eastAsia" w:ascii="黑体" w:hAnsi="宋体" w:eastAsia="黑体" w:cs="黑体"/>
                <w:kern w:val="0"/>
                <w:sz w:val="20"/>
                <w:szCs w:val="20"/>
              </w:rPr>
              <w:t>0</w:t>
            </w:r>
          </w:p>
        </w:tc>
        <w:tc>
          <w:tcPr>
            <w:tcW w:w="39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20" w:lineRule="atLeast"/>
              <w:jc w:val="center"/>
              <w:textAlignment w:val="auto"/>
              <w:outlineLvl w:val="9"/>
              <w:rPr>
                <w:rFonts w:ascii="宋体"/>
                <w:sz w:val="24"/>
                <w:szCs w:val="24"/>
              </w:rPr>
            </w:pPr>
            <w:r>
              <w:rPr>
                <w:rFonts w:hint="eastAsia" w:ascii="黑体" w:hAnsi="宋体" w:eastAsia="黑体" w:cs="黑体"/>
                <w:kern w:val="0"/>
                <w:sz w:val="20"/>
                <w:szCs w:val="20"/>
              </w:rPr>
              <w:t>0</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Chars="0"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五、存在的主要问题及改进情况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和田地区退役军人事务局</w:t>
      </w:r>
      <w:r>
        <w:rPr>
          <w:rFonts w:hint="eastAsia" w:ascii="仿宋_GB2312" w:hAnsi="仿宋_GB2312" w:eastAsia="仿宋_GB2312" w:cs="仿宋_GB2312"/>
          <w:sz w:val="32"/>
          <w:szCs w:val="32"/>
        </w:rPr>
        <w:t>政府信息公开工作</w:t>
      </w:r>
      <w:r>
        <w:rPr>
          <w:rFonts w:hint="eastAsia" w:ascii="仿宋_GB2312" w:hAnsi="仿宋_GB2312" w:eastAsia="仿宋_GB2312" w:cs="仿宋_GB2312"/>
          <w:sz w:val="32"/>
          <w:szCs w:val="32"/>
          <w:lang w:eastAsia="zh-CN"/>
        </w:rPr>
        <w:t>进展</w:t>
      </w:r>
      <w:r>
        <w:rPr>
          <w:rFonts w:hint="eastAsia" w:ascii="仿宋_GB2312" w:hAnsi="仿宋_GB2312" w:eastAsia="仿宋_GB2312" w:cs="仿宋_GB2312"/>
          <w:sz w:val="32"/>
          <w:szCs w:val="32"/>
        </w:rPr>
        <w:t>良好，但与自治区</w:t>
      </w:r>
      <w:r>
        <w:rPr>
          <w:rFonts w:hint="eastAsia" w:ascii="仿宋_GB2312" w:hAnsi="仿宋_GB2312" w:eastAsia="仿宋_GB2312" w:cs="仿宋_GB2312"/>
          <w:sz w:val="32"/>
          <w:szCs w:val="32"/>
          <w:lang w:eastAsia="zh-CN"/>
        </w:rPr>
        <w:t>、地区</w:t>
      </w:r>
      <w:r>
        <w:rPr>
          <w:rFonts w:hint="eastAsia" w:ascii="仿宋_GB2312" w:hAnsi="仿宋_GB2312" w:eastAsia="仿宋_GB2312" w:cs="仿宋_GB2312"/>
          <w:sz w:val="32"/>
          <w:szCs w:val="32"/>
        </w:rPr>
        <w:t>的要求和公众的期盼相比，还存在一定差距和不足：</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政府信息公开内容的广度和深度还需进一步加强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政府信息公开载体建设还</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进一步规范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政务公开相关配套制度</w:t>
      </w:r>
      <w:r>
        <w:rPr>
          <w:rFonts w:hint="eastAsia" w:ascii="仿宋_GB2312" w:hAnsi="仿宋_GB2312" w:eastAsia="仿宋_GB2312" w:cs="仿宋_GB2312"/>
          <w:sz w:val="32"/>
          <w:szCs w:val="32"/>
          <w:lang w:eastAsia="zh-CN"/>
        </w:rPr>
        <w:t>还</w:t>
      </w:r>
      <w:r>
        <w:rPr>
          <w:rFonts w:hint="eastAsia" w:ascii="仿宋_GB2312" w:hAnsi="仿宋_GB2312" w:eastAsia="仿宋_GB2312" w:cs="仿宋_GB2312"/>
          <w:sz w:val="32"/>
          <w:szCs w:val="32"/>
        </w:rPr>
        <w:t>需进一步细化。今后工作中，</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将严格按照保密法及《中华人民共和国</w:t>
      </w:r>
      <w:r>
        <w:rPr>
          <w:rFonts w:hint="eastAsia" w:ascii="仿宋_GB2312" w:hAnsi="仿宋_GB2312" w:eastAsia="仿宋_GB2312" w:cs="仿宋_GB2312"/>
          <w:sz w:val="32"/>
          <w:szCs w:val="32"/>
          <w:lang w:eastAsia="zh-CN"/>
        </w:rPr>
        <w:t>政府信息</w:t>
      </w:r>
      <w:r>
        <w:rPr>
          <w:rFonts w:hint="eastAsia" w:ascii="仿宋_GB2312" w:hAnsi="仿宋_GB2312" w:eastAsia="仿宋_GB2312" w:cs="仿宋_GB2312"/>
          <w:sz w:val="32"/>
          <w:szCs w:val="32"/>
        </w:rPr>
        <w:t>公开条例》</w:t>
      </w:r>
      <w:r>
        <w:rPr>
          <w:rFonts w:hint="eastAsia" w:ascii="仿宋_GB2312" w:hAnsi="仿宋_GB2312" w:eastAsia="仿宋_GB2312" w:cs="仿宋_GB2312"/>
          <w:sz w:val="32"/>
          <w:szCs w:val="32"/>
          <w:lang w:eastAsia="zh-CN"/>
        </w:rPr>
        <w:t>、政务公开工作要点等</w:t>
      </w:r>
      <w:r>
        <w:rPr>
          <w:rFonts w:hint="eastAsia" w:ascii="仿宋_GB2312" w:hAnsi="仿宋_GB2312" w:eastAsia="仿宋_GB2312" w:cs="仿宋_GB2312"/>
          <w:sz w:val="32"/>
          <w:szCs w:val="32"/>
        </w:rPr>
        <w:t>要求，落实</w:t>
      </w:r>
      <w:r>
        <w:rPr>
          <w:rFonts w:hint="eastAsia" w:ascii="仿宋_GB2312" w:hAnsi="仿宋_GB2312" w:eastAsia="仿宋_GB2312" w:cs="仿宋_GB2312"/>
          <w:sz w:val="32"/>
          <w:szCs w:val="32"/>
          <w:lang w:eastAsia="zh-CN"/>
        </w:rPr>
        <w:t>上级部门的</w:t>
      </w:r>
      <w:r>
        <w:rPr>
          <w:rFonts w:hint="eastAsia" w:ascii="仿宋_GB2312" w:hAnsi="仿宋_GB2312" w:eastAsia="仿宋_GB2312" w:cs="仿宋_GB2312"/>
          <w:sz w:val="32"/>
          <w:szCs w:val="32"/>
        </w:rPr>
        <w:t>有关规定，坚持以公开为常态、不公开为例外，认真对标对表，加强教育培训，提高准确把握相关政策的能力，进一步完善保障制度，积极回应社会关切,建立长效机制，发挥绩效考评作用，切实在常态化、规范化上下功夫，全力助推政府信息公开工作取得更大成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Chars="0" w:right="0" w:rightChars="0" w:firstLine="640" w:firstLineChars="200"/>
        <w:jc w:val="left"/>
        <w:textAlignment w:val="auto"/>
        <w:rPr>
          <w:rFonts w:hint="eastAsia" w:ascii="黑体" w:hAnsi="黑体" w:eastAsia="黑体" w:cs="黑体"/>
          <w:b w:val="0"/>
          <w:bCs/>
          <w:kern w:val="0"/>
          <w:sz w:val="32"/>
          <w:szCs w:val="32"/>
          <w:highlight w:val="none"/>
          <w:lang w:val="en-US" w:eastAsia="zh-CN" w:bidi="ar"/>
        </w:rPr>
      </w:pPr>
      <w:r>
        <w:rPr>
          <w:rFonts w:hint="eastAsia" w:ascii="黑体" w:hAnsi="黑体" w:eastAsia="黑体" w:cs="黑体"/>
          <w:b w:val="0"/>
          <w:bCs/>
          <w:kern w:val="0"/>
          <w:sz w:val="32"/>
          <w:szCs w:val="32"/>
          <w:highlight w:val="none"/>
          <w:lang w:val="en-US" w:eastAsia="zh-CN" w:bidi="ar"/>
        </w:rPr>
        <w:t>六、其他需要报告的事项</w:t>
      </w:r>
    </w:p>
    <w:p>
      <w:pPr>
        <w:pStyle w:val="10"/>
        <w:keepNext w:val="0"/>
        <w:keepLines w:val="0"/>
        <w:pageBreakBefore w:val="0"/>
        <w:widowControl/>
        <w:numPr>
          <w:ilvl w:val="0"/>
          <w:numId w:val="0"/>
        </w:numPr>
        <w:kinsoku/>
        <w:wordWrap/>
        <w:overflowPunct/>
        <w:topLinePunct w:val="0"/>
        <w:autoSpaceDE/>
        <w:autoSpaceDN/>
        <w:bidi w:val="0"/>
        <w:adjustRightInd/>
        <w:snapToGrid/>
        <w:spacing w:after="0" w:afterLines="0" w:line="520" w:lineRule="exact"/>
        <w:ind w:left="0" w:leftChars="0" w:firstLine="640" w:firstLineChars="200"/>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我局严格执行《政府信息公开信息处理费管理办法》，2022年无收取信息处理费的情况。</w:t>
      </w:r>
    </w:p>
    <w:p>
      <w:pPr>
        <w:pStyle w:val="10"/>
        <w:keepNext w:val="0"/>
        <w:keepLines w:val="0"/>
        <w:pageBreakBefore w:val="0"/>
        <w:kinsoku/>
        <w:wordWrap/>
        <w:overflowPunct/>
        <w:topLinePunct w:val="0"/>
        <w:autoSpaceDE/>
        <w:autoSpaceDN/>
        <w:bidi w:val="0"/>
        <w:adjustRightInd/>
        <w:snapToGrid/>
        <w:spacing w:after="0" w:afterLines="0" w:line="520" w:lineRule="exact"/>
        <w:textAlignment w:val="auto"/>
        <w:rPr>
          <w:rFonts w:hint="eastAsia" w:ascii="仿宋_GB2312" w:hAnsi="仿宋_GB2312" w:eastAsia="仿宋_GB2312" w:cs="仿宋_GB2312"/>
          <w:sz w:val="32"/>
          <w:szCs w:val="32"/>
          <w:lang w:eastAsia="zh-CN"/>
        </w:rPr>
      </w:pPr>
    </w:p>
    <w:p>
      <w:pPr>
        <w:pStyle w:val="10"/>
        <w:keepNext w:val="0"/>
        <w:keepLines w:val="0"/>
        <w:pageBreakBefore w:val="0"/>
        <w:kinsoku/>
        <w:wordWrap/>
        <w:overflowPunct/>
        <w:topLinePunct w:val="0"/>
        <w:autoSpaceDE/>
        <w:autoSpaceDN/>
        <w:bidi w:val="0"/>
        <w:adjustRightInd/>
        <w:snapToGrid/>
        <w:spacing w:after="0" w:afterLines="0" w:line="520" w:lineRule="exac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20" w:lineRule="exact"/>
        <w:ind w:firstLine="3520" w:firstLineChars="11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和田地区退役军人事务局</w:t>
      </w:r>
    </w:p>
    <w:p>
      <w:pPr>
        <w:keepNext w:val="0"/>
        <w:keepLines w:val="0"/>
        <w:pageBreakBefore w:val="0"/>
        <w:kinsoku/>
        <w:wordWrap/>
        <w:overflowPunct/>
        <w:topLinePunct w:val="0"/>
        <w:autoSpaceDE/>
        <w:autoSpaceDN/>
        <w:bidi w:val="0"/>
        <w:adjustRightInd/>
        <w:snapToGrid/>
        <w:spacing w:line="520" w:lineRule="exact"/>
        <w:ind w:firstLine="4160" w:firstLineChars="13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2023年1月30日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auto"/>
    <w:pitch w:val="default"/>
    <w:sig w:usb0="00000001" w:usb1="080E0000" w:usb2="00000000" w:usb3="00000000" w:csb0="00040000" w:csb1="00000000"/>
  </w:font>
  <w:font w:name="方正仿宋简体">
    <w:altName w:val="方正仿宋_GBK"/>
    <w:panose1 w:val="02010601030101010101"/>
    <w:charset w:val="00"/>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A2BFA"/>
    <w:rsid w:val="09657E8D"/>
    <w:rsid w:val="0C777CF8"/>
    <w:rsid w:val="0D7DB91F"/>
    <w:rsid w:val="0EEDEA5C"/>
    <w:rsid w:val="18BF8FC2"/>
    <w:rsid w:val="19E6FCF2"/>
    <w:rsid w:val="1A869C58"/>
    <w:rsid w:val="1B1FBAD9"/>
    <w:rsid w:val="1BDDA310"/>
    <w:rsid w:val="1BE753E1"/>
    <w:rsid w:val="1DDEEBBE"/>
    <w:rsid w:val="1EFF0775"/>
    <w:rsid w:val="1F53DD84"/>
    <w:rsid w:val="1F72A8B8"/>
    <w:rsid w:val="1F98B6DB"/>
    <w:rsid w:val="1FF176F7"/>
    <w:rsid w:val="1FF30708"/>
    <w:rsid w:val="27AF1EE2"/>
    <w:rsid w:val="28FB57E1"/>
    <w:rsid w:val="29E79C37"/>
    <w:rsid w:val="2AFDD574"/>
    <w:rsid w:val="2B341C4F"/>
    <w:rsid w:val="2E77CD21"/>
    <w:rsid w:val="2EEFE562"/>
    <w:rsid w:val="2F1F5716"/>
    <w:rsid w:val="31011000"/>
    <w:rsid w:val="317C0F0E"/>
    <w:rsid w:val="317FB87C"/>
    <w:rsid w:val="33E93DC1"/>
    <w:rsid w:val="3576DCB1"/>
    <w:rsid w:val="35D75D4A"/>
    <w:rsid w:val="37FB58BA"/>
    <w:rsid w:val="37FEF881"/>
    <w:rsid w:val="38DE4022"/>
    <w:rsid w:val="38EB44E9"/>
    <w:rsid w:val="39DFD7C8"/>
    <w:rsid w:val="3A4D239E"/>
    <w:rsid w:val="3B7FEC0B"/>
    <w:rsid w:val="3BED46FD"/>
    <w:rsid w:val="3CF74A78"/>
    <w:rsid w:val="3DD50F5A"/>
    <w:rsid w:val="3DFFEEFC"/>
    <w:rsid w:val="3E726DC3"/>
    <w:rsid w:val="3E7DD7ED"/>
    <w:rsid w:val="3E960683"/>
    <w:rsid w:val="3EAB0813"/>
    <w:rsid w:val="3EECD68D"/>
    <w:rsid w:val="3F77725B"/>
    <w:rsid w:val="3F7F6BD4"/>
    <w:rsid w:val="3F8F6B5F"/>
    <w:rsid w:val="3FDD5AB0"/>
    <w:rsid w:val="3FFE3D1A"/>
    <w:rsid w:val="3FFEF37D"/>
    <w:rsid w:val="41E724DC"/>
    <w:rsid w:val="447B7844"/>
    <w:rsid w:val="49E63950"/>
    <w:rsid w:val="49EB4A5F"/>
    <w:rsid w:val="4CD62CC5"/>
    <w:rsid w:val="4DC1BD3A"/>
    <w:rsid w:val="4EF7DD47"/>
    <w:rsid w:val="4FBE7332"/>
    <w:rsid w:val="4FEFF911"/>
    <w:rsid w:val="4FFF7C7C"/>
    <w:rsid w:val="509F3F48"/>
    <w:rsid w:val="525A4F39"/>
    <w:rsid w:val="53BFC62E"/>
    <w:rsid w:val="54F4411F"/>
    <w:rsid w:val="56AF3DFD"/>
    <w:rsid w:val="5778889C"/>
    <w:rsid w:val="596307B5"/>
    <w:rsid w:val="59FF6135"/>
    <w:rsid w:val="5B7D821C"/>
    <w:rsid w:val="5BBBAAE6"/>
    <w:rsid w:val="5BDF4471"/>
    <w:rsid w:val="5CF75470"/>
    <w:rsid w:val="5D3B481E"/>
    <w:rsid w:val="5D921FB3"/>
    <w:rsid w:val="5EB832EB"/>
    <w:rsid w:val="5EDFDEF7"/>
    <w:rsid w:val="5EEBC0F3"/>
    <w:rsid w:val="5EF9030C"/>
    <w:rsid w:val="5EFF8990"/>
    <w:rsid w:val="5EFFB61D"/>
    <w:rsid w:val="5F160093"/>
    <w:rsid w:val="5F65EC71"/>
    <w:rsid w:val="5F7D1F56"/>
    <w:rsid w:val="5FF3E7E9"/>
    <w:rsid w:val="5FFEF8E1"/>
    <w:rsid w:val="61461042"/>
    <w:rsid w:val="62BE7B84"/>
    <w:rsid w:val="638F7ED5"/>
    <w:rsid w:val="64EA9262"/>
    <w:rsid w:val="6660033B"/>
    <w:rsid w:val="677B358D"/>
    <w:rsid w:val="677DACCE"/>
    <w:rsid w:val="688B213F"/>
    <w:rsid w:val="6AFBBDFD"/>
    <w:rsid w:val="6BFF5131"/>
    <w:rsid w:val="6CB07B71"/>
    <w:rsid w:val="6DF6E700"/>
    <w:rsid w:val="6DFD7948"/>
    <w:rsid w:val="6E7B3BBC"/>
    <w:rsid w:val="6EB70B97"/>
    <w:rsid w:val="6F7DFDF0"/>
    <w:rsid w:val="6FA5BD3C"/>
    <w:rsid w:val="6FBD2F7D"/>
    <w:rsid w:val="6FDE75FE"/>
    <w:rsid w:val="6FFE5BC4"/>
    <w:rsid w:val="6FFF861C"/>
    <w:rsid w:val="71BF9D9C"/>
    <w:rsid w:val="71F5A850"/>
    <w:rsid w:val="73E6AA6D"/>
    <w:rsid w:val="744D63AF"/>
    <w:rsid w:val="74F6BE78"/>
    <w:rsid w:val="75B528BD"/>
    <w:rsid w:val="76FDA313"/>
    <w:rsid w:val="77178ECD"/>
    <w:rsid w:val="777F6D01"/>
    <w:rsid w:val="779EF58D"/>
    <w:rsid w:val="77D40DD2"/>
    <w:rsid w:val="77EF235A"/>
    <w:rsid w:val="77F5B5C3"/>
    <w:rsid w:val="77FF553A"/>
    <w:rsid w:val="77FFC476"/>
    <w:rsid w:val="78FB37C1"/>
    <w:rsid w:val="796FEF84"/>
    <w:rsid w:val="79AF1A00"/>
    <w:rsid w:val="79F3D7C2"/>
    <w:rsid w:val="7B4DD13C"/>
    <w:rsid w:val="7B5DDA7A"/>
    <w:rsid w:val="7B6DA985"/>
    <w:rsid w:val="7BADBD2E"/>
    <w:rsid w:val="7BBFF6D7"/>
    <w:rsid w:val="7BEB0456"/>
    <w:rsid w:val="7BFB8849"/>
    <w:rsid w:val="7CFE9BCD"/>
    <w:rsid w:val="7D7B1CDC"/>
    <w:rsid w:val="7DAE78CE"/>
    <w:rsid w:val="7DBE8A3F"/>
    <w:rsid w:val="7DBEAB4B"/>
    <w:rsid w:val="7DEE930F"/>
    <w:rsid w:val="7DF8D030"/>
    <w:rsid w:val="7DFC52E4"/>
    <w:rsid w:val="7DFFD76F"/>
    <w:rsid w:val="7DFFE427"/>
    <w:rsid w:val="7E2962FF"/>
    <w:rsid w:val="7EF7B520"/>
    <w:rsid w:val="7F6D8305"/>
    <w:rsid w:val="7F7BC5D3"/>
    <w:rsid w:val="7F7BECE1"/>
    <w:rsid w:val="7F9610CA"/>
    <w:rsid w:val="7F9EC804"/>
    <w:rsid w:val="7F9F7903"/>
    <w:rsid w:val="7FB27B0B"/>
    <w:rsid w:val="7FBBFFEF"/>
    <w:rsid w:val="7FBE1575"/>
    <w:rsid w:val="7FBFE383"/>
    <w:rsid w:val="7FD76BE2"/>
    <w:rsid w:val="7FDF35CB"/>
    <w:rsid w:val="7FDF7F01"/>
    <w:rsid w:val="7FEE006D"/>
    <w:rsid w:val="7FF3109D"/>
    <w:rsid w:val="7FF321E9"/>
    <w:rsid w:val="7FF324F8"/>
    <w:rsid w:val="7FF7020A"/>
    <w:rsid w:val="7FF803CE"/>
    <w:rsid w:val="7FF9490A"/>
    <w:rsid w:val="7FFBEC87"/>
    <w:rsid w:val="7FFF6391"/>
    <w:rsid w:val="7FFFE845"/>
    <w:rsid w:val="87FEFC14"/>
    <w:rsid w:val="8DBFCAEB"/>
    <w:rsid w:val="91F58325"/>
    <w:rsid w:val="91F772D5"/>
    <w:rsid w:val="973F4F53"/>
    <w:rsid w:val="9792B799"/>
    <w:rsid w:val="97FF4BC9"/>
    <w:rsid w:val="9CF8D50A"/>
    <w:rsid w:val="9DF646E8"/>
    <w:rsid w:val="9DFB50DC"/>
    <w:rsid w:val="9E7B17F0"/>
    <w:rsid w:val="9E9F9455"/>
    <w:rsid w:val="9F7E17ED"/>
    <w:rsid w:val="A6BE85C4"/>
    <w:rsid w:val="AADFA187"/>
    <w:rsid w:val="AC5E2FAA"/>
    <w:rsid w:val="ADE7E85F"/>
    <w:rsid w:val="AF7BF165"/>
    <w:rsid w:val="B61FE8C8"/>
    <w:rsid w:val="B66DC917"/>
    <w:rsid w:val="B6D99F58"/>
    <w:rsid w:val="B6FDD308"/>
    <w:rsid w:val="B754E487"/>
    <w:rsid w:val="B78D84FA"/>
    <w:rsid w:val="B7EF2654"/>
    <w:rsid w:val="B8BF000F"/>
    <w:rsid w:val="B9FCC56A"/>
    <w:rsid w:val="BB6E68CD"/>
    <w:rsid w:val="BC677EE4"/>
    <w:rsid w:val="BD0CEEFF"/>
    <w:rsid w:val="BD770870"/>
    <w:rsid w:val="BDDA9798"/>
    <w:rsid w:val="BDDF6852"/>
    <w:rsid w:val="BDFF141E"/>
    <w:rsid w:val="BE7AB507"/>
    <w:rsid w:val="BF7E0BD8"/>
    <w:rsid w:val="BFA991B1"/>
    <w:rsid w:val="BFB9F47B"/>
    <w:rsid w:val="BFDD3AE9"/>
    <w:rsid w:val="BFEDC0A9"/>
    <w:rsid w:val="BFEDCDA0"/>
    <w:rsid w:val="BFF3C5F8"/>
    <w:rsid w:val="C5E74F74"/>
    <w:rsid w:val="C6DF1B80"/>
    <w:rsid w:val="C7FF431F"/>
    <w:rsid w:val="CB9C6354"/>
    <w:rsid w:val="CBF3BA7B"/>
    <w:rsid w:val="CBFD8592"/>
    <w:rsid w:val="CD7A4885"/>
    <w:rsid w:val="CFEEF621"/>
    <w:rsid w:val="D1FA8A45"/>
    <w:rsid w:val="D64EBC87"/>
    <w:rsid w:val="D77729F2"/>
    <w:rsid w:val="D7FF8298"/>
    <w:rsid w:val="D99BF6DC"/>
    <w:rsid w:val="DC9F4F00"/>
    <w:rsid w:val="DCBF24DB"/>
    <w:rsid w:val="DDD20DBF"/>
    <w:rsid w:val="DE5FD311"/>
    <w:rsid w:val="DEDB0BD3"/>
    <w:rsid w:val="DEDD6A1A"/>
    <w:rsid w:val="DFEE7F87"/>
    <w:rsid w:val="DFF72F47"/>
    <w:rsid w:val="DFF78111"/>
    <w:rsid w:val="DFFAD7FC"/>
    <w:rsid w:val="DFFDF2CC"/>
    <w:rsid w:val="DFFF426D"/>
    <w:rsid w:val="E3758643"/>
    <w:rsid w:val="E3DD58AF"/>
    <w:rsid w:val="E5FF7859"/>
    <w:rsid w:val="E64A496E"/>
    <w:rsid w:val="E6E5B0AA"/>
    <w:rsid w:val="E77DF697"/>
    <w:rsid w:val="E77F06D6"/>
    <w:rsid w:val="E97FC212"/>
    <w:rsid w:val="EA6FD690"/>
    <w:rsid w:val="EEBBD884"/>
    <w:rsid w:val="EEBD51A4"/>
    <w:rsid w:val="EEFDFDEF"/>
    <w:rsid w:val="EF7FFC96"/>
    <w:rsid w:val="EFBBC153"/>
    <w:rsid w:val="EFCF0C75"/>
    <w:rsid w:val="EFF7D952"/>
    <w:rsid w:val="EFFA7AED"/>
    <w:rsid w:val="F0FF6FFD"/>
    <w:rsid w:val="F37FAE09"/>
    <w:rsid w:val="F3EDA18E"/>
    <w:rsid w:val="F3EE6CE0"/>
    <w:rsid w:val="F3F3C6CC"/>
    <w:rsid w:val="F3FFDEEF"/>
    <w:rsid w:val="F5CF81DC"/>
    <w:rsid w:val="F5FF69C1"/>
    <w:rsid w:val="F62FDCE6"/>
    <w:rsid w:val="F65B2800"/>
    <w:rsid w:val="F65E4537"/>
    <w:rsid w:val="F6DD2C5F"/>
    <w:rsid w:val="F71FD8C7"/>
    <w:rsid w:val="F73FD43C"/>
    <w:rsid w:val="F7AF4144"/>
    <w:rsid w:val="F7AFE968"/>
    <w:rsid w:val="F7CE3E92"/>
    <w:rsid w:val="F7F39C8A"/>
    <w:rsid w:val="F7F5DF4D"/>
    <w:rsid w:val="F7F8404E"/>
    <w:rsid w:val="F7FA0015"/>
    <w:rsid w:val="F7FF48CB"/>
    <w:rsid w:val="F7FF7D61"/>
    <w:rsid w:val="F9D735FE"/>
    <w:rsid w:val="FAEE2B7B"/>
    <w:rsid w:val="FB299B77"/>
    <w:rsid w:val="FBAE6B09"/>
    <w:rsid w:val="FBBFD88C"/>
    <w:rsid w:val="FBCCBA4D"/>
    <w:rsid w:val="FBDE8961"/>
    <w:rsid w:val="FBE751B9"/>
    <w:rsid w:val="FBF4A3E3"/>
    <w:rsid w:val="FBF61E1E"/>
    <w:rsid w:val="FBF63EB5"/>
    <w:rsid w:val="FBFF70BA"/>
    <w:rsid w:val="FCB67433"/>
    <w:rsid w:val="FCFB97A9"/>
    <w:rsid w:val="FCFFC555"/>
    <w:rsid w:val="FDAFFA81"/>
    <w:rsid w:val="FDCE38FB"/>
    <w:rsid w:val="FE3D7F55"/>
    <w:rsid w:val="FEB7ACBF"/>
    <w:rsid w:val="FEBE23EF"/>
    <w:rsid w:val="FEFB5384"/>
    <w:rsid w:val="FEFD48E1"/>
    <w:rsid w:val="FF3E9076"/>
    <w:rsid w:val="FF683580"/>
    <w:rsid w:val="FF7B705B"/>
    <w:rsid w:val="FF7D6496"/>
    <w:rsid w:val="FF7DFFC3"/>
    <w:rsid w:val="FF7EAF7E"/>
    <w:rsid w:val="FF7F2FDF"/>
    <w:rsid w:val="FF8F6A24"/>
    <w:rsid w:val="FFAF7FFB"/>
    <w:rsid w:val="FFBC43D2"/>
    <w:rsid w:val="FFBF1DB6"/>
    <w:rsid w:val="FFBF507A"/>
    <w:rsid w:val="FFEE02AB"/>
    <w:rsid w:val="FFF12075"/>
    <w:rsid w:val="FFF29CEE"/>
    <w:rsid w:val="FFF31A45"/>
    <w:rsid w:val="FFF685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customStyle="1" w:styleId="2">
    <w:name w:val="样式1"/>
    <w:basedOn w:val="1"/>
    <w:qFormat/>
    <w:uiPriority w:val="0"/>
  </w:style>
  <w:style w:type="paragraph" w:styleId="3">
    <w:name w:val="Body Text"/>
    <w:basedOn w:val="1"/>
    <w:next w:val="1"/>
    <w:qFormat/>
    <w:uiPriority w:val="0"/>
    <w:pPr>
      <w:widowControl/>
      <w:spacing w:after="120" w:afterLines="0" w:line="357" w:lineRule="atLeast"/>
    </w:pPr>
    <w:rPr>
      <w:color w:val="000000"/>
      <w:kern w:val="0"/>
      <w:szCs w:val="20"/>
      <w:u w:val="none" w:color="00000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 正文文本 + 首行缩进:  2 字符"/>
    <w:basedOn w:val="3"/>
    <w:qFormat/>
    <w:uiPriority w:val="0"/>
    <w:pPr>
      <w:spacing w:after="120" w:afterLines="0" w:line="480" w:lineRule="exact"/>
      <w:ind w:firstLine="1041"/>
      <w:outlineLvl w:val="1"/>
    </w:pPr>
    <w:rPr>
      <w:rFonts w:ascii="Times New Roman" w:hAnsi="Times New Roman" w:eastAsia="方正仿宋_GBK" w:cs="宋体"/>
      <w:sz w:val="32"/>
      <w:szCs w:val="20"/>
    </w:rPr>
  </w:style>
  <w:style w:type="paragraph" w:customStyle="1" w:styleId="11">
    <w:name w:val="普通(网站)1"/>
    <w:basedOn w:val="1"/>
    <w:qFormat/>
    <w:uiPriority w:val="0"/>
    <w:pPr>
      <w:spacing w:before="0" w:beforeAutospacing="0" w:after="0" w:afterAutospacing="0"/>
      <w:ind w:left="0" w:right="0"/>
      <w:jc w:val="left"/>
    </w:pPr>
    <w:rPr>
      <w:kern w:val="0"/>
      <w:sz w:val="24"/>
      <w:lang w:val="en-US" w:eastAsia="zh-CN"/>
    </w:rPr>
  </w:style>
  <w:style w:type="table" w:customStyle="1" w:styleId="12">
    <w:name w:val="普通表格1"/>
    <w:semiHidden/>
    <w:qFormat/>
    <w:uiPriority w:val="0"/>
    <w:tblPr>
      <w:tblStyle w:val="7"/>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2014-11-03T20:08:00Z</dcterms:created>
  <dc:creator>Administrator</dc:creator>
  <cp:lastModifiedBy>user</cp:lastModifiedBy>
  <cp:lastPrinted>2023-02-02T11:38:20Z</cp:lastPrinted>
  <dcterms:modified xsi:type="dcterms:W3CDTF">2023-03-22T22:33:47Z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