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和田地区统计局202</w:t>
      </w:r>
      <w:r>
        <w:rPr>
          <w:rFonts w:hint="eastAsia" w:ascii="方正小标宋简体" w:hAnsi="方正小标宋简体" w:eastAsia="方正小标宋简体" w:cs="方正小标宋简体"/>
          <w:b w:val="0"/>
          <w:bCs w:val="0"/>
          <w:sz w:val="44"/>
          <w:szCs w:val="44"/>
          <w:lang w:val="en-US" w:eastAsia="zh-CN"/>
        </w:rPr>
        <w:t>2</w:t>
      </w:r>
      <w:r>
        <w:rPr>
          <w:rFonts w:hint="eastAsia" w:ascii="方正小标宋简体" w:hAnsi="方正小标宋简体" w:eastAsia="方正小标宋简体" w:cs="方正小标宋简体"/>
          <w:b w:val="0"/>
          <w:bCs w:val="0"/>
          <w:sz w:val="44"/>
          <w:szCs w:val="44"/>
        </w:rPr>
        <w:t>年政府信息</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本报告根据《中华人民共和国政府信息公开条例》（以下简称《条例》）编制。</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rPr>
        <w:t>包括总体情况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主动公开政府信息情况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收到和处理政府信息公开申请情况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政府信息公开行政复议、行政诉讼情况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存在的主要问题及改进情况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其他需要报告的事项6个部分。本报告所列数据统计期限为202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年，在</w:t>
      </w:r>
      <w:r>
        <w:rPr>
          <w:rFonts w:hint="eastAsia" w:ascii="仿宋_GB2312" w:hAnsi="仿宋_GB2312" w:eastAsia="仿宋_GB2312" w:cs="仿宋_GB2312"/>
          <w:sz w:val="32"/>
          <w:szCs w:val="32"/>
          <w:lang w:val="en-US" w:eastAsia="zh-CN"/>
        </w:rPr>
        <w:t>和田地委、行署</w:t>
      </w:r>
      <w:r>
        <w:rPr>
          <w:rFonts w:hint="eastAsia" w:ascii="仿宋_GB2312" w:hAnsi="仿宋_GB2312" w:eastAsia="仿宋_GB2312" w:cs="仿宋_GB2312"/>
          <w:sz w:val="32"/>
          <w:szCs w:val="32"/>
        </w:rPr>
        <w:t>的坚强领导下，地区统计局不断完善政府信息公开工作机制，规范信息公开内容、流程，增强信息公开实效，保障了人民群众知情权、参与权、表达权和监督权，发挥了统计信息对经济社会发展的服务保障作用。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default" w:ascii="仿宋_GB2312" w:hAnsi="仿宋_GB2312" w:eastAsia="楷体_GB2312" w:cs="仿宋_GB2312"/>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主动公开情况</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sz w:val="32"/>
          <w:szCs w:val="32"/>
          <w:lang w:val="en-US" w:eastAsia="zh-CN"/>
        </w:rPr>
        <w:t>地区统计局着力加强信息资源整合，提升信息化手段的运用能力，坚持公开为常态、不公开为例外，不断扩大主动公开范围。2022年公开政府信息11条,其中：法律法规类7条；违纪违法举报渠道信息1条；财务预算、决算类2条；《和田地区2021年国民经济和社会发展统计公报》1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lang w:val="en-US" w:eastAsia="zh-CN"/>
        </w:rPr>
        <w:t>依申请公开情况</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2</w:t>
      </w:r>
      <w:r>
        <w:rPr>
          <w:rFonts w:hint="eastAsia" w:ascii="仿宋_GB2312" w:hAnsi="仿宋_GB2312" w:eastAsia="仿宋_GB2312" w:cs="仿宋_GB2312"/>
          <w:sz w:val="32"/>
          <w:szCs w:val="32"/>
          <w:lang w:val="en-US" w:eastAsia="zh-CN"/>
        </w:rPr>
        <w:t>022年，地区统计局组织相关人员多次学习政府信息公开申请办理答复规范等内容，进一步规范办理流程，提升工作效率，按时依规办理依申请公开事项。2022年，我局未收到政府信息公开申请。</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lang w:val="en-US" w:eastAsia="zh-CN"/>
        </w:rPr>
        <w:t>政务信息管理情况</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val="en-US" w:eastAsia="zh-CN"/>
        </w:rPr>
        <w:t>地区统计局严格落实信息管理要求，进一步健全政府信息管理制度，严格实行撰稿人初审、科长校对、办公室复核、分管领导复审查、主要领导审定的程序，强化政府信息公开保密性审查，确保政府信息管理到位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lang w:val="en-US" w:eastAsia="zh-CN"/>
        </w:rPr>
        <w:t>政府信息公开平台建设情况</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val="en-US" w:eastAsia="zh-CN"/>
        </w:rPr>
        <w:t>地区统计局未建立门户网站等信息公开平台，主要依托和田地区行政公署网站、和田地区行政服务和公共资源交易中心、12345热线平台，积极主动做好政府信息公开工作。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default" w:ascii="仿宋_GB2312" w:hAnsi="仿宋_GB2312" w:eastAsia="仿宋_GB2312" w:cs="仿宋_GB2312"/>
          <w:sz w:val="32"/>
          <w:szCs w:val="32"/>
          <w:lang w:val="en-US"/>
        </w:rPr>
      </w:pP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lang w:val="en-US" w:eastAsia="zh-CN"/>
        </w:rPr>
        <w:t>监管保障情况</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val="en-US" w:eastAsia="zh-CN"/>
        </w:rPr>
        <w:t>当前地区统计局政府信息公开工作实行严格的监管保障制度，主要领导亲自过问、亲自把关，分管领导作为第一责任人，负责监督指导政府信息公开工作，定期梳理政府信息公开工作中存在的短板弱项，坚持问题导向，完善监督保障机制，不断提高政府信息公开工作水平。</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二、主动公开政府信息情况 </w:t>
      </w:r>
    </w:p>
    <w:tbl>
      <w:tblPr>
        <w:tblStyle w:val="8"/>
        <w:tblW w:w="8897" w:type="dxa"/>
        <w:jc w:val="center"/>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3"/>
        <w:gridCol w:w="1856"/>
        <w:gridCol w:w="1888"/>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897" w:type="dxa"/>
            <w:gridSpan w:val="4"/>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cs="宋体"/>
                <w:kern w:val="0"/>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923" w:type="dxa"/>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cs="宋体"/>
                <w:kern w:val="0"/>
                <w:sz w:val="24"/>
                <w:lang w:bidi="ar"/>
              </w:rPr>
              <w:t>信息内容</w:t>
            </w:r>
          </w:p>
        </w:tc>
        <w:tc>
          <w:tcPr>
            <w:tcW w:w="1856" w:type="dxa"/>
            <w:shd w:val="clear" w:color="auto" w:fill="auto"/>
            <w:vAlign w:val="center"/>
          </w:tcPr>
          <w:p>
            <w:pPr>
              <w:widowControl/>
              <w:spacing w:after="144" w:line="300" w:lineRule="exact"/>
              <w:jc w:val="center"/>
              <w:rPr>
                <w:rFonts w:hint="eastAsia" w:ascii="仿宋_GB2312" w:hAnsi="仿宋_GB2312" w:eastAsia="仿宋_GB2312"/>
                <w:sz w:val="24"/>
                <w:lang w:eastAsia="zh-CN"/>
              </w:rPr>
            </w:pPr>
            <w:r>
              <w:rPr>
                <w:rFonts w:hint="eastAsia" w:ascii="仿宋_GB2312" w:hAnsi="仿宋_GB2312" w:eastAsia="仿宋_GB2312" w:cs="宋体"/>
                <w:kern w:val="0"/>
                <w:sz w:val="24"/>
                <w:lang w:bidi="ar"/>
              </w:rPr>
              <w:t>本年</w:t>
            </w:r>
            <w:r>
              <w:rPr>
                <w:rFonts w:hint="eastAsia" w:ascii="仿宋_GB2312" w:hAnsi="仿宋_GB2312" w:eastAsia="仿宋_GB2312"/>
                <w:kern w:val="0"/>
                <w:sz w:val="24"/>
                <w:lang w:bidi="ar"/>
              </w:rPr>
              <w:t>制</w:t>
            </w:r>
            <w:r>
              <w:rPr>
                <w:rFonts w:hint="eastAsia" w:ascii="仿宋_GB2312" w:hAnsi="仿宋_GB2312" w:eastAsia="仿宋_GB2312"/>
                <w:kern w:val="0"/>
                <w:sz w:val="24"/>
                <w:lang w:eastAsia="zh-CN" w:bidi="ar"/>
              </w:rPr>
              <w:t>发件数</w:t>
            </w:r>
          </w:p>
        </w:tc>
        <w:tc>
          <w:tcPr>
            <w:tcW w:w="1888" w:type="dxa"/>
            <w:shd w:val="clear" w:color="auto" w:fill="auto"/>
            <w:vAlign w:val="center"/>
          </w:tcPr>
          <w:p>
            <w:pPr>
              <w:widowControl/>
              <w:spacing w:after="144" w:line="300" w:lineRule="exact"/>
              <w:jc w:val="center"/>
              <w:rPr>
                <w:rFonts w:hint="eastAsia" w:ascii="仿宋_GB2312" w:hAnsi="仿宋_GB2312" w:eastAsia="仿宋_GB2312"/>
                <w:sz w:val="24"/>
                <w:lang w:eastAsia="zh-CN"/>
              </w:rPr>
            </w:pPr>
            <w:r>
              <w:rPr>
                <w:rFonts w:hint="eastAsia" w:ascii="仿宋_GB2312" w:hAnsi="仿宋_GB2312" w:eastAsia="仿宋_GB2312" w:cs="宋体"/>
                <w:kern w:val="0"/>
                <w:sz w:val="24"/>
                <w:lang w:bidi="ar"/>
              </w:rPr>
              <w:t>本年</w:t>
            </w:r>
            <w:r>
              <w:rPr>
                <w:rFonts w:hint="eastAsia" w:ascii="仿宋_GB2312" w:hAnsi="仿宋_GB2312" w:eastAsia="仿宋_GB2312" w:cs="宋体"/>
                <w:kern w:val="0"/>
                <w:sz w:val="24"/>
                <w:lang w:eastAsia="zh-CN" w:bidi="ar"/>
              </w:rPr>
              <w:t>废止件数</w:t>
            </w:r>
          </w:p>
        </w:tc>
        <w:tc>
          <w:tcPr>
            <w:tcW w:w="2230" w:type="dxa"/>
            <w:shd w:val="clear" w:color="auto" w:fill="auto"/>
            <w:vAlign w:val="center"/>
          </w:tcPr>
          <w:p>
            <w:pPr>
              <w:widowControl/>
              <w:spacing w:after="144" w:line="300" w:lineRule="exact"/>
              <w:jc w:val="center"/>
              <w:rPr>
                <w:rFonts w:hint="eastAsia" w:ascii="仿宋_GB2312" w:hAnsi="仿宋_GB2312" w:eastAsia="仿宋_GB2312"/>
                <w:sz w:val="24"/>
                <w:lang w:eastAsia="zh-CN"/>
              </w:rPr>
            </w:pPr>
            <w:r>
              <w:rPr>
                <w:rFonts w:hint="eastAsia" w:ascii="仿宋_GB2312" w:hAnsi="仿宋_GB2312" w:eastAsia="仿宋_GB2312"/>
                <w:sz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923" w:type="dxa"/>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cs="宋体"/>
                <w:kern w:val="0"/>
                <w:sz w:val="24"/>
                <w:lang w:bidi="ar"/>
              </w:rPr>
              <w:t>规章</w:t>
            </w:r>
          </w:p>
        </w:tc>
        <w:tc>
          <w:tcPr>
            <w:tcW w:w="1856" w:type="dxa"/>
            <w:shd w:val="clear" w:color="auto" w:fill="auto"/>
            <w:vAlign w:val="center"/>
          </w:tcPr>
          <w:p>
            <w:pPr>
              <w:widowControl/>
              <w:spacing w:after="144" w:line="300" w:lineRule="exact"/>
              <w:jc w:val="center"/>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0</w:t>
            </w:r>
          </w:p>
        </w:tc>
        <w:tc>
          <w:tcPr>
            <w:tcW w:w="1888" w:type="dxa"/>
            <w:shd w:val="clear" w:color="auto" w:fill="auto"/>
            <w:vAlign w:val="center"/>
          </w:tcPr>
          <w:p>
            <w:pPr>
              <w:widowControl/>
              <w:spacing w:after="144" w:line="300" w:lineRule="exact"/>
              <w:jc w:val="center"/>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0</w:t>
            </w:r>
          </w:p>
        </w:tc>
        <w:tc>
          <w:tcPr>
            <w:tcW w:w="2230" w:type="dxa"/>
            <w:shd w:val="clear" w:color="auto" w:fill="auto"/>
            <w:vAlign w:val="center"/>
          </w:tcPr>
          <w:p>
            <w:pPr>
              <w:widowControl/>
              <w:spacing w:after="144" w:line="300" w:lineRule="exact"/>
              <w:jc w:val="center"/>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923" w:type="dxa"/>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cs="宋体"/>
                <w:kern w:val="0"/>
                <w:sz w:val="24"/>
                <w:lang w:bidi="ar"/>
              </w:rPr>
              <w:t>规范性文件</w:t>
            </w:r>
          </w:p>
        </w:tc>
        <w:tc>
          <w:tcPr>
            <w:tcW w:w="1856" w:type="dxa"/>
            <w:shd w:val="clear" w:color="auto" w:fill="auto"/>
            <w:vAlign w:val="center"/>
          </w:tcPr>
          <w:p>
            <w:pPr>
              <w:widowControl/>
              <w:spacing w:after="144" w:line="300" w:lineRule="exact"/>
              <w:jc w:val="center"/>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0</w:t>
            </w:r>
          </w:p>
        </w:tc>
        <w:tc>
          <w:tcPr>
            <w:tcW w:w="1888" w:type="dxa"/>
            <w:shd w:val="clear" w:color="auto" w:fill="auto"/>
            <w:vAlign w:val="center"/>
          </w:tcPr>
          <w:p>
            <w:pPr>
              <w:widowControl/>
              <w:spacing w:after="144" w:line="300" w:lineRule="exact"/>
              <w:jc w:val="center"/>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0</w:t>
            </w:r>
          </w:p>
        </w:tc>
        <w:tc>
          <w:tcPr>
            <w:tcW w:w="2230" w:type="dxa"/>
            <w:shd w:val="clear" w:color="auto" w:fill="auto"/>
            <w:vAlign w:val="center"/>
          </w:tcPr>
          <w:p>
            <w:pPr>
              <w:widowControl/>
              <w:spacing w:after="144" w:line="300" w:lineRule="exact"/>
              <w:jc w:val="center"/>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897" w:type="dxa"/>
            <w:gridSpan w:val="4"/>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cs="宋体"/>
                <w:kern w:val="0"/>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 w:hRule="atLeast"/>
          <w:jc w:val="center"/>
        </w:trPr>
        <w:tc>
          <w:tcPr>
            <w:tcW w:w="2923" w:type="dxa"/>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cs="宋体"/>
                <w:kern w:val="0"/>
                <w:sz w:val="24"/>
                <w:lang w:bidi="ar"/>
              </w:rPr>
              <w:t>信息内容</w:t>
            </w:r>
          </w:p>
        </w:tc>
        <w:tc>
          <w:tcPr>
            <w:tcW w:w="5974" w:type="dxa"/>
            <w:gridSpan w:val="3"/>
            <w:shd w:val="clear" w:color="auto" w:fill="auto"/>
            <w:vAlign w:val="center"/>
          </w:tcPr>
          <w:p>
            <w:pPr>
              <w:widowControl/>
              <w:spacing w:after="144" w:line="300" w:lineRule="exact"/>
              <w:jc w:val="center"/>
              <w:rPr>
                <w:rFonts w:hint="eastAsia" w:ascii="仿宋_GB2312" w:hAnsi="仿宋_GB2312" w:eastAsia="仿宋_GB2312"/>
                <w:sz w:val="24"/>
                <w:lang w:eastAsia="zh-CN"/>
              </w:rPr>
            </w:pPr>
            <w:r>
              <w:rPr>
                <w:rFonts w:hint="eastAsia" w:ascii="仿宋_GB2312" w:hAnsi="仿宋_GB2312" w:eastAsia="仿宋_GB2312"/>
                <w:sz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2923" w:type="dxa"/>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cs="宋体"/>
                <w:kern w:val="0"/>
                <w:sz w:val="24"/>
                <w:lang w:bidi="ar"/>
              </w:rPr>
              <w:t>行政许可</w:t>
            </w:r>
          </w:p>
        </w:tc>
        <w:tc>
          <w:tcPr>
            <w:tcW w:w="5974" w:type="dxa"/>
            <w:gridSpan w:val="3"/>
            <w:shd w:val="clear" w:color="auto" w:fill="auto"/>
            <w:vAlign w:val="center"/>
          </w:tcPr>
          <w:p>
            <w:pPr>
              <w:widowControl/>
              <w:spacing w:after="144" w:line="300" w:lineRule="exact"/>
              <w:jc w:val="center"/>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897" w:type="dxa"/>
            <w:gridSpan w:val="4"/>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cs="宋体"/>
                <w:kern w:val="0"/>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2923" w:type="dxa"/>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cs="宋体"/>
                <w:kern w:val="0"/>
                <w:sz w:val="24"/>
                <w:lang w:bidi="ar"/>
              </w:rPr>
              <w:t>信息内容</w:t>
            </w:r>
          </w:p>
        </w:tc>
        <w:tc>
          <w:tcPr>
            <w:tcW w:w="5974" w:type="dxa"/>
            <w:gridSpan w:val="3"/>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sz w:val="24"/>
                <w:lang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2923" w:type="dxa"/>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cs="宋体"/>
                <w:kern w:val="0"/>
                <w:sz w:val="24"/>
                <w:lang w:bidi="ar"/>
              </w:rPr>
              <w:t>行政处罚</w:t>
            </w:r>
          </w:p>
        </w:tc>
        <w:tc>
          <w:tcPr>
            <w:tcW w:w="5974" w:type="dxa"/>
            <w:gridSpan w:val="3"/>
            <w:shd w:val="clear" w:color="auto" w:fill="auto"/>
            <w:vAlign w:val="center"/>
          </w:tcPr>
          <w:p>
            <w:pPr>
              <w:widowControl/>
              <w:spacing w:after="144" w:line="300" w:lineRule="exact"/>
              <w:jc w:val="center"/>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2923" w:type="dxa"/>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cs="宋体"/>
                <w:kern w:val="0"/>
                <w:sz w:val="24"/>
                <w:lang w:bidi="ar"/>
              </w:rPr>
              <w:t>行政强制</w:t>
            </w:r>
          </w:p>
        </w:tc>
        <w:tc>
          <w:tcPr>
            <w:tcW w:w="5974" w:type="dxa"/>
            <w:gridSpan w:val="3"/>
            <w:shd w:val="clear" w:color="auto" w:fill="auto"/>
            <w:vAlign w:val="center"/>
          </w:tcPr>
          <w:p>
            <w:pPr>
              <w:widowControl/>
              <w:spacing w:after="144" w:line="300" w:lineRule="exact"/>
              <w:jc w:val="center"/>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8897" w:type="dxa"/>
            <w:gridSpan w:val="4"/>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cs="宋体"/>
                <w:kern w:val="0"/>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923" w:type="dxa"/>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cs="宋体"/>
                <w:kern w:val="0"/>
                <w:sz w:val="24"/>
                <w:lang w:bidi="ar"/>
              </w:rPr>
              <w:t>信息内容</w:t>
            </w:r>
          </w:p>
        </w:tc>
        <w:tc>
          <w:tcPr>
            <w:tcW w:w="5974" w:type="dxa"/>
            <w:gridSpan w:val="3"/>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sz w:val="24"/>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2923" w:type="dxa"/>
            <w:shd w:val="clear" w:color="auto" w:fill="auto"/>
            <w:vAlign w:val="center"/>
          </w:tcPr>
          <w:p>
            <w:pPr>
              <w:widowControl/>
              <w:spacing w:after="144" w:line="300" w:lineRule="exact"/>
              <w:jc w:val="center"/>
              <w:rPr>
                <w:rFonts w:hint="eastAsia" w:ascii="仿宋_GB2312" w:hAnsi="仿宋_GB2312" w:eastAsia="仿宋_GB2312"/>
                <w:sz w:val="24"/>
              </w:rPr>
            </w:pPr>
            <w:r>
              <w:rPr>
                <w:rFonts w:hint="eastAsia" w:ascii="仿宋_GB2312" w:hAnsi="仿宋_GB2312" w:eastAsia="仿宋_GB2312" w:cs="宋体"/>
                <w:kern w:val="0"/>
                <w:sz w:val="24"/>
                <w:lang w:bidi="ar"/>
              </w:rPr>
              <w:t>行政事业性收费</w:t>
            </w:r>
          </w:p>
        </w:tc>
        <w:tc>
          <w:tcPr>
            <w:tcW w:w="5974" w:type="dxa"/>
            <w:gridSpan w:val="3"/>
            <w:shd w:val="clear" w:color="auto" w:fill="auto"/>
            <w:vAlign w:val="center"/>
          </w:tcPr>
          <w:p>
            <w:pPr>
              <w:widowControl/>
              <w:spacing w:after="144" w:line="300" w:lineRule="exact"/>
              <w:jc w:val="center"/>
              <w:rPr>
                <w:rFonts w:hint="eastAsia" w:ascii="仿宋_GB2312" w:hAnsi="仿宋_GB2312" w:eastAsia="仿宋_GB2312"/>
                <w:sz w:val="24"/>
                <w:lang w:val="en-US" w:eastAsia="zh-CN"/>
              </w:rPr>
            </w:pPr>
            <w:r>
              <w:rPr>
                <w:rFonts w:hint="eastAsia" w:ascii="仿宋_GB2312" w:hAnsi="仿宋_GB2312" w:eastAsia="仿宋_GB2312"/>
                <w:sz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三、收到和处理政府信息公开申请情况 </w:t>
      </w:r>
    </w:p>
    <w:tbl>
      <w:tblPr>
        <w:tblStyle w:val="8"/>
        <w:tblW w:w="8956" w:type="dxa"/>
        <w:jc w:val="center"/>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2"/>
        <w:gridCol w:w="744"/>
        <w:gridCol w:w="3456"/>
        <w:gridCol w:w="456"/>
        <w:gridCol w:w="707"/>
        <w:gridCol w:w="707"/>
        <w:gridCol w:w="737"/>
        <w:gridCol w:w="773"/>
        <w:gridCol w:w="427"/>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 w:hRule="atLeast"/>
          <w:jc w:val="center"/>
        </w:trPr>
        <w:tc>
          <w:tcPr>
            <w:tcW w:w="4752"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宋体"/>
                <w:kern w:val="0"/>
                <w:sz w:val="21"/>
                <w:szCs w:val="21"/>
                <w:lang w:bidi="ar"/>
              </w:rPr>
              <w:t>（本列数据的勾稽关系为：第一项加第二项之和，等于第三项加第四项之和）</w:t>
            </w:r>
          </w:p>
        </w:tc>
        <w:tc>
          <w:tcPr>
            <w:tcW w:w="4204" w:type="dxa"/>
            <w:gridSpan w:val="7"/>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宋体"/>
                <w:kern w:val="0"/>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752"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45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宋体"/>
                <w:kern w:val="0"/>
                <w:sz w:val="21"/>
                <w:szCs w:val="21"/>
                <w:lang w:bidi="ar"/>
              </w:rPr>
              <w:t>自然人</w:t>
            </w:r>
          </w:p>
        </w:tc>
        <w:tc>
          <w:tcPr>
            <w:tcW w:w="3351"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宋体"/>
                <w:kern w:val="0"/>
                <w:sz w:val="21"/>
                <w:szCs w:val="21"/>
                <w:lang w:bidi="ar"/>
              </w:rPr>
              <w:t>法人或其他组织</w:t>
            </w:r>
          </w:p>
        </w:tc>
        <w:tc>
          <w:tcPr>
            <w:tcW w:w="397"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宋体"/>
                <w:kern w:val="0"/>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8" w:hRule="atLeast"/>
          <w:jc w:val="center"/>
        </w:trPr>
        <w:tc>
          <w:tcPr>
            <w:tcW w:w="4752"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456"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宋体"/>
                <w:kern w:val="0"/>
                <w:sz w:val="21"/>
                <w:szCs w:val="21"/>
                <w:lang w:bidi="ar"/>
              </w:rPr>
              <w:t>商业企业</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宋体"/>
                <w:kern w:val="0"/>
                <w:sz w:val="21"/>
                <w:szCs w:val="21"/>
                <w:lang w:bidi="ar"/>
              </w:rPr>
              <w:t>科研机构</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宋体"/>
                <w:kern w:val="0"/>
                <w:sz w:val="21"/>
                <w:szCs w:val="21"/>
                <w:lang w:bidi="ar"/>
              </w:rPr>
              <w:t>社会公益组织</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宋体"/>
                <w:kern w:val="0"/>
                <w:sz w:val="21"/>
                <w:szCs w:val="21"/>
                <w:lang w:bidi="ar"/>
              </w:rPr>
              <w:t>法律服务机构</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宋体"/>
                <w:kern w:val="0"/>
                <w:sz w:val="21"/>
                <w:szCs w:val="21"/>
                <w:lang w:bidi="ar"/>
              </w:rPr>
              <w:t>其他</w:t>
            </w:r>
          </w:p>
        </w:tc>
        <w:tc>
          <w:tcPr>
            <w:tcW w:w="397"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 w:hRule="atLeast"/>
          <w:jc w:val="center"/>
        </w:trPr>
        <w:tc>
          <w:tcPr>
            <w:tcW w:w="4752"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宋体"/>
                <w:kern w:val="0"/>
                <w:sz w:val="21"/>
                <w:szCs w:val="21"/>
                <w:lang w:bidi="ar"/>
              </w:rPr>
              <w:t>一、本年新收政府信息公开申请数量</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lang w:val="en-US" w:eastAsia="zh-CN"/>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lang w:val="en-US" w:eastAsia="zh-CN"/>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752"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宋体"/>
                <w:kern w:val="0"/>
                <w:sz w:val="21"/>
                <w:szCs w:val="21"/>
                <w:lang w:bidi="ar"/>
              </w:rPr>
              <w:t>二、上年结转政府信息公开申请数量</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552"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宋体"/>
                <w:kern w:val="0"/>
                <w:sz w:val="21"/>
                <w:szCs w:val="21"/>
                <w:lang w:bidi="ar"/>
              </w:rPr>
              <w:t>三、本年度办理结果</w:t>
            </w:r>
          </w:p>
        </w:tc>
        <w:tc>
          <w:tcPr>
            <w:tcW w:w="420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（一）予以公开</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lang w:val="en-US"/>
              </w:rPr>
            </w:pPr>
            <w:r>
              <w:rPr>
                <w:rFonts w:hint="eastAsia" w:ascii="仿宋_GB2312" w:hAnsi="仿宋_GB2312" w:eastAsia="仿宋_GB2312" w:cs="Calibri"/>
                <w:kern w:val="0"/>
                <w:sz w:val="21"/>
                <w:szCs w:val="21"/>
                <w:lang w:val="en-US" w:eastAsia="zh-CN" w:bidi="ar"/>
              </w:rPr>
              <w:t>0</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lang w:val="en-US"/>
              </w:rPr>
            </w:pPr>
            <w:r>
              <w:rPr>
                <w:rFonts w:hint="eastAsia" w:ascii="仿宋_GB2312" w:hAnsi="仿宋_GB2312" w:eastAsia="仿宋_GB2312" w:cs="Calibri"/>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4200"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（二）部分公开（区分处理的，只计这一情形，不计其他情形）</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（三）不予公开</w:t>
            </w: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1.属于国家秘密</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2.其他法律行政法规禁止公开</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3.危及“三安全一稳定”</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4.保护第三方合法权益</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6"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5.属于三类内部事务信息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0"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6.属于四类过程性信息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7.属于行政执法案卷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6"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8.属于行政查询事项</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（四）无法提供</w:t>
            </w: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1.本机关不掌握相关政府信息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2"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2.没有现成信息需要另行制作</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3.补正后申请内容仍不明确</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（五）不予处理</w:t>
            </w: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1.信访举报投诉类申请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2.重复申请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3.要求提供公开出版物</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6"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4.无正当理由大量反复申请</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8"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Borders>
              <w:bottom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3456" w:type="dxa"/>
            <w:tcBorders>
              <w:bottom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5.要求行政机关确认或重新出具已获取信息</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8" w:hRule="atLeast"/>
          <w:jc w:val="center"/>
        </w:trPr>
        <w:tc>
          <w:tcPr>
            <w:tcW w:w="552" w:type="dxa"/>
            <w:vMerge w:val="continue"/>
            <w:tcBorders>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restart"/>
            <w:tcBorders>
              <w:top w:val="single" w:color="auto" w:sz="4" w:space="0"/>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（六）其他处理</w:t>
            </w:r>
          </w:p>
        </w:tc>
        <w:tc>
          <w:tcPr>
            <w:tcW w:w="3456" w:type="dxa"/>
            <w:tcBorders>
              <w:top w:val="single" w:color="auto" w:sz="4" w:space="0"/>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楷体"/>
                <w:kern w:val="0"/>
                <w:sz w:val="21"/>
                <w:szCs w:val="21"/>
                <w:lang w:val="en-US" w:eastAsia="zh-CN" w:bidi="ar"/>
              </w:rPr>
            </w:pPr>
            <w:r>
              <w:rPr>
                <w:rFonts w:hint="eastAsia" w:ascii="仿宋_GB2312" w:hAnsi="仿宋_GB2312" w:eastAsia="仿宋_GB2312" w:cs="楷体"/>
                <w:kern w:val="0"/>
                <w:sz w:val="21"/>
                <w:szCs w:val="21"/>
                <w:lang w:val="en-US" w:eastAsia="zh-CN" w:bidi="ar"/>
              </w:rPr>
              <w:t>1.申请人无正当理由逾期不补正、行政机关不再处理其政府信息公开申请</w:t>
            </w:r>
          </w:p>
        </w:tc>
        <w:tc>
          <w:tcPr>
            <w:tcW w:w="456" w:type="dxa"/>
            <w:tcBorders>
              <w:lef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30" w:hRule="atLeast"/>
          <w:jc w:val="center"/>
        </w:trPr>
        <w:tc>
          <w:tcPr>
            <w:tcW w:w="552" w:type="dxa"/>
            <w:vMerge w:val="continue"/>
            <w:tcBorders>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Borders>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楷体"/>
                <w:kern w:val="0"/>
                <w:sz w:val="21"/>
                <w:szCs w:val="21"/>
                <w:lang w:bidi="ar"/>
              </w:rPr>
            </w:pPr>
          </w:p>
        </w:tc>
        <w:tc>
          <w:tcPr>
            <w:tcW w:w="3456" w:type="dxa"/>
            <w:tcBorders>
              <w:left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楷体"/>
                <w:kern w:val="0"/>
                <w:sz w:val="21"/>
                <w:szCs w:val="21"/>
                <w:lang w:val="en-US" w:eastAsia="zh-CN" w:bidi="ar"/>
              </w:rPr>
            </w:pPr>
            <w:r>
              <w:rPr>
                <w:rFonts w:hint="eastAsia" w:ascii="仿宋_GB2312" w:hAnsi="仿宋_GB2312" w:eastAsia="仿宋_GB2312" w:cs="楷体"/>
                <w:kern w:val="0"/>
                <w:sz w:val="21"/>
                <w:szCs w:val="21"/>
                <w:lang w:val="en-US" w:eastAsia="zh-CN" w:bidi="ar"/>
              </w:rPr>
              <w:t>2.申请人逾期未按收费通知要求缴纳费用、行政机关不再处理其政府信息公开申请</w:t>
            </w:r>
          </w:p>
        </w:tc>
        <w:tc>
          <w:tcPr>
            <w:tcW w:w="456" w:type="dxa"/>
            <w:tcBorders>
              <w:lef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kern w:val="0"/>
                <w:sz w:val="21"/>
                <w:szCs w:val="21"/>
                <w:lang w:bidi="ar"/>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kern w:val="0"/>
                <w:sz w:val="21"/>
                <w:szCs w:val="21"/>
                <w:lang w:bidi="ar"/>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kern w:val="0"/>
                <w:sz w:val="21"/>
                <w:szCs w:val="21"/>
                <w:lang w:bidi="ar"/>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kern w:val="0"/>
                <w:sz w:val="21"/>
                <w:szCs w:val="21"/>
                <w:lang w:bidi="ar"/>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kern w:val="0"/>
                <w:sz w:val="21"/>
                <w:szCs w:val="21"/>
                <w:lang w:bidi="ar"/>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kern w:val="0"/>
                <w:sz w:val="21"/>
                <w:szCs w:val="21"/>
                <w:lang w:bidi="ar"/>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kern w:val="0"/>
                <w:sz w:val="21"/>
                <w:szCs w:val="21"/>
                <w:lang w:bidi="ar"/>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jc w:val="center"/>
        </w:trPr>
        <w:tc>
          <w:tcPr>
            <w:tcW w:w="552" w:type="dxa"/>
            <w:vMerge w:val="continue"/>
            <w:tcBorders>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744" w:type="dxa"/>
            <w:vMerge w:val="continue"/>
            <w:tcBorders>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楷体"/>
                <w:kern w:val="0"/>
                <w:sz w:val="21"/>
                <w:szCs w:val="21"/>
                <w:lang w:bidi="ar"/>
              </w:rPr>
            </w:pPr>
          </w:p>
        </w:tc>
        <w:tc>
          <w:tcPr>
            <w:tcW w:w="3456" w:type="dxa"/>
            <w:tcBorders>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楷体"/>
                <w:kern w:val="0"/>
                <w:sz w:val="21"/>
                <w:szCs w:val="21"/>
                <w:lang w:val="en-US" w:eastAsia="zh-CN" w:bidi="ar"/>
              </w:rPr>
            </w:pPr>
            <w:r>
              <w:rPr>
                <w:rFonts w:hint="eastAsia" w:ascii="仿宋_GB2312" w:hAnsi="仿宋_GB2312" w:eastAsia="仿宋_GB2312" w:cs="楷体"/>
                <w:kern w:val="0"/>
                <w:sz w:val="21"/>
                <w:szCs w:val="21"/>
                <w:lang w:val="en-US" w:eastAsia="zh-CN" w:bidi="ar"/>
              </w:rPr>
              <w:t>3.其他</w:t>
            </w:r>
          </w:p>
        </w:tc>
        <w:tc>
          <w:tcPr>
            <w:tcW w:w="456" w:type="dxa"/>
            <w:tcBorders>
              <w:left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kern w:val="0"/>
                <w:sz w:val="21"/>
                <w:szCs w:val="21"/>
                <w:lang w:bidi="ar"/>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kern w:val="0"/>
                <w:sz w:val="21"/>
                <w:szCs w:val="21"/>
                <w:lang w:bidi="ar"/>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kern w:val="0"/>
                <w:sz w:val="21"/>
                <w:szCs w:val="21"/>
                <w:lang w:bidi="ar"/>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kern w:val="0"/>
                <w:sz w:val="21"/>
                <w:szCs w:val="21"/>
                <w:lang w:bidi="ar"/>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kern w:val="0"/>
                <w:sz w:val="21"/>
                <w:szCs w:val="21"/>
                <w:lang w:bidi="ar"/>
              </w:rPr>
            </w:pPr>
            <w:r>
              <w:rPr>
                <w:rFonts w:hint="eastAsia" w:ascii="仿宋_GB2312" w:hAnsi="仿宋_GB2312" w:eastAsia="仿宋_GB2312" w:cs="Calibri"/>
                <w:kern w:val="0"/>
                <w:sz w:val="21"/>
                <w:szCs w:val="21"/>
                <w:lang w:val="en-US" w:eastAsia="zh-CN" w:bidi="ar"/>
              </w:rPr>
              <w:t>0</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kern w:val="0"/>
                <w:sz w:val="21"/>
                <w:szCs w:val="21"/>
                <w:lang w:val="en-US" w:bidi="ar"/>
              </w:rPr>
            </w:pPr>
            <w:r>
              <w:rPr>
                <w:rFonts w:hint="eastAsia" w:ascii="仿宋_GB2312" w:hAnsi="仿宋_GB2312" w:eastAsia="仿宋_GB2312" w:cs="Calibri"/>
                <w:kern w:val="0"/>
                <w:sz w:val="21"/>
                <w:szCs w:val="21"/>
                <w:lang w:val="en-US" w:eastAsia="zh-CN" w:bidi="ar"/>
              </w:rPr>
              <w:t>0</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Calibri"/>
                <w:kern w:val="0"/>
                <w:sz w:val="21"/>
                <w:szCs w:val="21"/>
                <w:lang w:bidi="ar"/>
              </w:rPr>
            </w:pPr>
            <w:r>
              <w:rPr>
                <w:rFonts w:hint="eastAsia" w:ascii="仿宋_GB2312" w:hAnsi="仿宋_GB2312" w:eastAsia="仿宋_GB2312" w:cs="Calibri"/>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552"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sz w:val="21"/>
                <w:szCs w:val="21"/>
              </w:rPr>
            </w:pPr>
          </w:p>
        </w:tc>
        <w:tc>
          <w:tcPr>
            <w:tcW w:w="4200" w:type="dxa"/>
            <w:gridSpan w:val="2"/>
            <w:tcBorders>
              <w:top w:val="single" w:color="auto" w:sz="4"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楷体"/>
                <w:kern w:val="0"/>
                <w:sz w:val="21"/>
                <w:szCs w:val="21"/>
                <w:lang w:bidi="ar"/>
              </w:rPr>
              <w:t>（七）总计</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jc w:val="center"/>
        </w:trPr>
        <w:tc>
          <w:tcPr>
            <w:tcW w:w="4752"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sz w:val="21"/>
                <w:szCs w:val="21"/>
              </w:rPr>
            </w:pPr>
            <w:r>
              <w:rPr>
                <w:rFonts w:hint="eastAsia" w:ascii="仿宋_GB2312" w:hAnsi="仿宋_GB2312" w:eastAsia="仿宋_GB2312" w:cs="宋体"/>
                <w:kern w:val="0"/>
                <w:sz w:val="21"/>
                <w:szCs w:val="21"/>
                <w:lang w:bidi="ar"/>
              </w:rPr>
              <w:t>四、结转下年度继续办理</w:t>
            </w:r>
          </w:p>
        </w:tc>
        <w:tc>
          <w:tcPr>
            <w:tcW w:w="45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sz w:val="21"/>
                <w:szCs w:val="21"/>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3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773"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4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c>
          <w:tcPr>
            <w:tcW w:w="39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Calibri"/>
                <w:kern w:val="0"/>
                <w:sz w:val="21"/>
                <w:szCs w:val="21"/>
                <w:lang w:val="en-US" w:eastAsia="zh-CN" w:bidi="ar"/>
              </w:rPr>
              <w:t>0</w:t>
            </w:r>
            <w:r>
              <w:rPr>
                <w:rFonts w:hint="eastAsia" w:ascii="仿宋_GB2312" w:hAnsi="仿宋_GB2312" w:eastAsia="仿宋_GB2312" w:cs="Calibri"/>
                <w:kern w:val="0"/>
                <w:sz w:val="21"/>
                <w:szCs w:val="21"/>
                <w:lang w:bidi="ar"/>
              </w:rPr>
              <w:t> </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8"/>
        <w:tblW w:w="8931"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
      <w:tblGrid>
        <w:gridCol w:w="625"/>
        <w:gridCol w:w="647"/>
        <w:gridCol w:w="553"/>
        <w:gridCol w:w="506"/>
        <w:gridCol w:w="538"/>
        <w:gridCol w:w="675"/>
        <w:gridCol w:w="589"/>
        <w:gridCol w:w="473"/>
        <w:gridCol w:w="588"/>
        <w:gridCol w:w="525"/>
        <w:gridCol w:w="705"/>
        <w:gridCol w:w="628"/>
        <w:gridCol w:w="623"/>
        <w:gridCol w:w="739"/>
        <w:gridCol w:w="51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rPr>
          <w:trHeight w:val="423" w:hRule="atLeast"/>
        </w:trPr>
        <w:tc>
          <w:tcPr>
            <w:tcW w:w="2869"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ind w:firstLine="420"/>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行政复议</w:t>
            </w:r>
          </w:p>
        </w:tc>
        <w:tc>
          <w:tcPr>
            <w:tcW w:w="6062" w:type="dxa"/>
            <w:gridSpan w:val="10"/>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ind w:firstLine="420"/>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行政诉讼</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c>
          <w:tcPr>
            <w:tcW w:w="625"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结果维持</w:t>
            </w:r>
          </w:p>
        </w:tc>
        <w:tc>
          <w:tcPr>
            <w:tcW w:w="647"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结果纠正</w:t>
            </w:r>
          </w:p>
        </w:tc>
        <w:tc>
          <w:tcPr>
            <w:tcW w:w="553"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其他结果</w:t>
            </w:r>
          </w:p>
        </w:tc>
        <w:tc>
          <w:tcPr>
            <w:tcW w:w="506"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尚未审结</w:t>
            </w:r>
          </w:p>
        </w:tc>
        <w:tc>
          <w:tcPr>
            <w:tcW w:w="538" w:type="dxa"/>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总计</w:t>
            </w:r>
          </w:p>
        </w:tc>
        <w:tc>
          <w:tcPr>
            <w:tcW w:w="2850"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ind w:firstLine="420"/>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未经复议直接起诉</w:t>
            </w:r>
          </w:p>
        </w:tc>
        <w:tc>
          <w:tcPr>
            <w:tcW w:w="3212" w:type="dxa"/>
            <w:gridSpan w:val="5"/>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ind w:firstLine="420"/>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复议后起诉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625"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rPr>
            </w:pPr>
          </w:p>
        </w:tc>
        <w:tc>
          <w:tcPr>
            <w:tcW w:w="647"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rPr>
            </w:pPr>
          </w:p>
        </w:tc>
        <w:tc>
          <w:tcPr>
            <w:tcW w:w="553"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rPr>
            </w:pPr>
          </w:p>
        </w:tc>
        <w:tc>
          <w:tcPr>
            <w:tcW w:w="506"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rPr>
            </w:pPr>
          </w:p>
        </w:tc>
        <w:tc>
          <w:tcPr>
            <w:tcW w:w="538" w:type="dxa"/>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rPr>
            </w:pP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结果维持</w:t>
            </w:r>
          </w:p>
        </w:tc>
        <w:tc>
          <w:tcPr>
            <w:tcW w:w="58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结果纠正</w:t>
            </w:r>
          </w:p>
        </w:tc>
        <w:tc>
          <w:tcPr>
            <w:tcW w:w="473"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其他结果</w:t>
            </w:r>
          </w:p>
        </w:tc>
        <w:tc>
          <w:tcPr>
            <w:tcW w:w="58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尚未审结</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总计</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结果维持</w:t>
            </w:r>
          </w:p>
        </w:tc>
        <w:tc>
          <w:tcPr>
            <w:tcW w:w="62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结果纠正</w:t>
            </w:r>
          </w:p>
        </w:tc>
        <w:tc>
          <w:tcPr>
            <w:tcW w:w="623"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其他结果</w:t>
            </w:r>
          </w:p>
        </w:tc>
        <w:tc>
          <w:tcPr>
            <w:tcW w:w="73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尚未审结</w:t>
            </w:r>
          </w:p>
        </w:tc>
        <w:tc>
          <w:tcPr>
            <w:tcW w:w="51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sz w:val="21"/>
                <w:szCs w:val="21"/>
              </w:rPr>
            </w:pPr>
            <w:r>
              <w:rPr>
                <w:rFonts w:hint="eastAsia" w:ascii="仿宋_GB2312" w:hAnsi="仿宋_GB2312" w:eastAsia="仿宋_GB2312" w:cs="微软雅黑"/>
                <w:color w:val="333333"/>
                <w:sz w:val="21"/>
                <w:szCs w:val="21"/>
              </w:rPr>
              <w:t>总计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15" w:type="dxa"/>
            <w:left w:w="15" w:type="dxa"/>
            <w:bottom w:w="15" w:type="dxa"/>
            <w:right w:w="15" w:type="dxa"/>
          </w:tblCellMar>
        </w:tblPrEx>
        <w:tc>
          <w:tcPr>
            <w:tcW w:w="62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c>
          <w:tcPr>
            <w:tcW w:w="64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c>
          <w:tcPr>
            <w:tcW w:w="553"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c>
          <w:tcPr>
            <w:tcW w:w="50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c>
          <w:tcPr>
            <w:tcW w:w="538"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c>
          <w:tcPr>
            <w:tcW w:w="67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c>
          <w:tcPr>
            <w:tcW w:w="58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c>
          <w:tcPr>
            <w:tcW w:w="473"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c>
          <w:tcPr>
            <w:tcW w:w="58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c>
          <w:tcPr>
            <w:tcW w:w="52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c>
          <w:tcPr>
            <w:tcW w:w="705"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c>
          <w:tcPr>
            <w:tcW w:w="62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c>
          <w:tcPr>
            <w:tcW w:w="623"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c>
          <w:tcPr>
            <w:tcW w:w="73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c>
          <w:tcPr>
            <w:tcW w:w="51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240" w:lineRule="exact"/>
              <w:jc w:val="center"/>
              <w:textAlignment w:val="auto"/>
              <w:outlineLvl w:val="9"/>
              <w:rPr>
                <w:rFonts w:hint="eastAsia" w:ascii="仿宋_GB2312" w:hAnsi="仿宋_GB2312" w:eastAsia="仿宋_GB2312" w:cs="微软雅黑"/>
                <w:color w:val="333333"/>
                <w:sz w:val="21"/>
                <w:szCs w:val="21"/>
                <w:lang w:val="en-US" w:eastAsia="zh-CN"/>
              </w:rPr>
            </w:pPr>
            <w:r>
              <w:rPr>
                <w:rFonts w:hint="eastAsia" w:ascii="仿宋_GB2312" w:hAnsi="仿宋_GB2312" w:eastAsia="仿宋_GB2312" w:cs="微软雅黑"/>
                <w:color w:val="333333"/>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（一）存在的问题。</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主动公开的内容不够丰富，实效性有待加强，公开的深度和广度需要进一步拓展。</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信息公开的形式不够丰富，新媒体的作用发挥还不够充分。</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eastAsia="zh-CN"/>
        </w:rPr>
        <w:t>公开</w:t>
      </w:r>
      <w:r>
        <w:rPr>
          <w:rFonts w:hint="eastAsia" w:ascii="仿宋_GB2312" w:hAnsi="仿宋_GB2312" w:eastAsia="仿宋_GB2312" w:cs="仿宋_GB2312"/>
          <w:sz w:val="32"/>
          <w:szCs w:val="32"/>
        </w:rPr>
        <w:t>还不够及时，特别是</w:t>
      </w: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解读做的还不够。</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（二）改进情况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和田地区统计局将严格落实国务院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自治区人民政府</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地区行政公署</w:t>
      </w:r>
      <w:r>
        <w:rPr>
          <w:rFonts w:hint="eastAsia" w:ascii="仿宋_GB2312" w:hAnsi="仿宋_GB2312" w:eastAsia="仿宋_GB2312" w:cs="仿宋_GB2312"/>
          <w:sz w:val="32"/>
          <w:szCs w:val="32"/>
        </w:rPr>
        <w:t>关于政务公开工作</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，认真贯彻落实《中华人民共和国政府信息公开条例》，以增强统计数据发布解读和统计服务能力为核心，持续加大政府信息公开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力度，以公开促落实，以公开促规范，以公开促服务，不断提高政府信息公开工作的实效。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本机关严格执行《国务院办公厅关于印发&lt;政府信息公开处理费用管理办法&gt;的通知》（国办函</w:t>
      </w:r>
      <w:r>
        <w:rPr>
          <w:rFonts w:hint="eastAsia" w:ascii="仿宋_GB2312" w:hAnsi="仿宋_GB2312" w:eastAsia="仿宋_GB2312" w:cs="宋体"/>
          <w:sz w:val="32"/>
          <w:szCs w:val="32"/>
          <w:lang w:val="en-US" w:eastAsia="zh-CN"/>
        </w:rPr>
        <w:t>〔2020〕109号文件</w:t>
      </w:r>
      <w:r>
        <w:rPr>
          <w:rFonts w:hint="eastAsia" w:ascii="仿宋_GB2312" w:hAnsi="仿宋_GB2312" w:eastAsia="仿宋_GB2312" w:cs="仿宋_GB2312"/>
          <w:sz w:val="32"/>
          <w:szCs w:val="32"/>
          <w:lang w:val="en-US" w:eastAsia="zh-CN"/>
        </w:rPr>
        <w:t>）规定，2022年，未产生信息公开处理费</w:t>
      </w:r>
      <w:bookmarkStart w:id="0" w:name="_GoBack"/>
      <w:bookmarkEnd w:id="0"/>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080" w:firstLineChars="19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和田地区统计局</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84A7E50"/>
    <w:rsid w:val="00641E23"/>
    <w:rsid w:val="0064761F"/>
    <w:rsid w:val="007A6082"/>
    <w:rsid w:val="00DC4BB4"/>
    <w:rsid w:val="00E51D55"/>
    <w:rsid w:val="00EF5E8D"/>
    <w:rsid w:val="016F72BC"/>
    <w:rsid w:val="04955C88"/>
    <w:rsid w:val="05CF6C26"/>
    <w:rsid w:val="05D04082"/>
    <w:rsid w:val="05D66CA4"/>
    <w:rsid w:val="06D86E05"/>
    <w:rsid w:val="07D12695"/>
    <w:rsid w:val="092A6FC0"/>
    <w:rsid w:val="0982290B"/>
    <w:rsid w:val="0A092C17"/>
    <w:rsid w:val="0C0255F7"/>
    <w:rsid w:val="0C696149"/>
    <w:rsid w:val="1491730A"/>
    <w:rsid w:val="1686253F"/>
    <w:rsid w:val="16F86825"/>
    <w:rsid w:val="1AA367C6"/>
    <w:rsid w:val="1AEC3BAD"/>
    <w:rsid w:val="1B6E0C93"/>
    <w:rsid w:val="1CE71F70"/>
    <w:rsid w:val="1E4A5EAE"/>
    <w:rsid w:val="1ECD46A9"/>
    <w:rsid w:val="1FC6290D"/>
    <w:rsid w:val="21530A85"/>
    <w:rsid w:val="21721C7E"/>
    <w:rsid w:val="21897DA0"/>
    <w:rsid w:val="24E966EE"/>
    <w:rsid w:val="25584BE7"/>
    <w:rsid w:val="26696CE2"/>
    <w:rsid w:val="284A7E50"/>
    <w:rsid w:val="2CFE1B9D"/>
    <w:rsid w:val="2DAE6D24"/>
    <w:rsid w:val="31210A3E"/>
    <w:rsid w:val="321B7CDB"/>
    <w:rsid w:val="32F65881"/>
    <w:rsid w:val="33E561E4"/>
    <w:rsid w:val="3AF44243"/>
    <w:rsid w:val="3B3A6B49"/>
    <w:rsid w:val="3D26249A"/>
    <w:rsid w:val="3E6652E0"/>
    <w:rsid w:val="3FE52062"/>
    <w:rsid w:val="41D04979"/>
    <w:rsid w:val="47307393"/>
    <w:rsid w:val="49626EF3"/>
    <w:rsid w:val="4A516DD6"/>
    <w:rsid w:val="4C157B88"/>
    <w:rsid w:val="4C833C47"/>
    <w:rsid w:val="4CA6342C"/>
    <w:rsid w:val="50030518"/>
    <w:rsid w:val="522D35EB"/>
    <w:rsid w:val="5A5E38DC"/>
    <w:rsid w:val="5B0E123E"/>
    <w:rsid w:val="5CE12B9F"/>
    <w:rsid w:val="5F360A7F"/>
    <w:rsid w:val="602C4DB3"/>
    <w:rsid w:val="617B55A7"/>
    <w:rsid w:val="62BD3D57"/>
    <w:rsid w:val="63406154"/>
    <w:rsid w:val="66E2779C"/>
    <w:rsid w:val="67677FA3"/>
    <w:rsid w:val="69644B17"/>
    <w:rsid w:val="6BFA05A6"/>
    <w:rsid w:val="6D446B63"/>
    <w:rsid w:val="6D5F10DE"/>
    <w:rsid w:val="6DB66919"/>
    <w:rsid w:val="6E69325F"/>
    <w:rsid w:val="6FAB0543"/>
    <w:rsid w:val="708C463B"/>
    <w:rsid w:val="740D3AF4"/>
    <w:rsid w:val="757201E6"/>
    <w:rsid w:val="77E32BD4"/>
    <w:rsid w:val="78E921FE"/>
    <w:rsid w:val="79853520"/>
    <w:rsid w:val="7C6B3783"/>
    <w:rsid w:val="7D906404"/>
    <w:rsid w:val="7D9A145D"/>
    <w:rsid w:val="7F8A0C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394</Words>
  <Characters>2252</Characters>
  <Lines>18</Lines>
  <Paragraphs>5</Paragraphs>
  <TotalTime>44</TotalTime>
  <ScaleCrop>false</ScaleCrop>
  <LinksUpToDate>false</LinksUpToDate>
  <CharactersWithSpaces>2641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2021-02-04T04:41:00Z</dcterms:created>
  <dc:creator>Administrator</dc:creator>
  <cp:lastModifiedBy>dzblh</cp:lastModifiedBy>
  <cp:lastPrinted>2023-03-16T03:03:00Z</cp:lastPrinted>
  <dcterms:modified xsi:type="dcterms:W3CDTF">2023-03-22T13:24:05Z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