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新宋体" w:hAnsi="新宋体" w:eastAsia="方正仿宋简体" w:cs="方正小标宋简体"/>
          <w:sz w:val="44"/>
          <w:szCs w:val="44"/>
        </w:rPr>
      </w:pPr>
    </w:p>
    <w:p>
      <w:pPr>
        <w:spacing w:line="520" w:lineRule="exact"/>
        <w:jc w:val="center"/>
        <w:rPr>
          <w:rFonts w:hint="eastAsia" w:ascii="新宋体" w:hAnsi="新宋体" w:eastAsia="方正小标宋简体" w:cs="方正小标宋简体"/>
          <w:sz w:val="44"/>
          <w:szCs w:val="44"/>
        </w:rPr>
      </w:pPr>
      <w:r>
        <w:rPr>
          <w:rFonts w:hint="eastAsia" w:ascii="新宋体" w:hAnsi="新宋体" w:eastAsia="方正小标宋简体" w:cs="方正小标宋简体"/>
          <w:sz w:val="44"/>
          <w:szCs w:val="44"/>
        </w:rPr>
        <w:t>和田地区行政公署办公室2022年政府信息</w:t>
      </w:r>
    </w:p>
    <w:p>
      <w:pPr>
        <w:spacing w:line="520" w:lineRule="exact"/>
        <w:jc w:val="center"/>
        <w:rPr>
          <w:rFonts w:ascii="新宋体" w:hAnsi="新宋体" w:eastAsia="方正小标宋简体" w:cs="方正小标宋简体"/>
          <w:sz w:val="44"/>
          <w:szCs w:val="44"/>
        </w:rPr>
      </w:pPr>
      <w:r>
        <w:rPr>
          <w:rFonts w:hint="eastAsia" w:ascii="新宋体" w:hAnsi="新宋体" w:eastAsia="方正小标宋简体" w:cs="方正小标宋简体"/>
          <w:sz w:val="44"/>
          <w:szCs w:val="44"/>
        </w:rPr>
        <w:t>公开工作年度报告</w:t>
      </w:r>
    </w:p>
    <w:p>
      <w:pPr>
        <w:spacing w:line="520" w:lineRule="exact"/>
        <w:ind w:firstLine="640" w:firstLineChars="200"/>
        <w:jc w:val="left"/>
        <w:rPr>
          <w:rFonts w:ascii="新宋体" w:hAnsi="新宋体" w:eastAsia="方正仿宋简体" w:cs="仿宋_GB2312"/>
          <w:sz w:val="32"/>
          <w:szCs w:val="32"/>
        </w:rPr>
      </w:pPr>
    </w:p>
    <w:p>
      <w:pPr>
        <w:widowControl/>
        <w:shd w:val="clear" w:color="auto" w:fill="FFFFFF"/>
        <w:spacing w:line="540" w:lineRule="exact"/>
        <w:ind w:firstLine="640" w:firstLineChars="200"/>
        <w:rPr>
          <w:rFonts w:ascii="新宋体" w:hAnsi="新宋体" w:eastAsia="方正仿宋简体" w:cs="宋体"/>
          <w:color w:val="333333"/>
          <w:kern w:val="0"/>
          <w:sz w:val="32"/>
          <w:szCs w:val="32"/>
          <w:shd w:val="clear" w:color="auto" w:fill="FFFFFF"/>
        </w:rPr>
      </w:pPr>
      <w:r>
        <w:rPr>
          <w:rFonts w:hint="eastAsia" w:ascii="新宋体" w:hAnsi="新宋体" w:eastAsia="方正仿宋简体" w:cs="宋体"/>
          <w:color w:val="333333"/>
          <w:kern w:val="0"/>
          <w:sz w:val="32"/>
          <w:szCs w:val="32"/>
          <w:shd w:val="clear" w:color="auto" w:fill="FFFFFF"/>
        </w:rPr>
        <w:t>本报告依据《中华人民共和国政府信息公开条例》及自治区人民政府办公厅《关于印发2022年政务公开工作要点的通知》（新政办函〔2022〕127号）编制。由总体情况</w:t>
      </w:r>
      <w:r>
        <w:rPr>
          <w:rFonts w:hint="eastAsia" w:ascii="新宋体" w:hAnsi="新宋体" w:eastAsia="方正仿宋简体" w:cs="宋体"/>
          <w:color w:val="333333"/>
          <w:kern w:val="0"/>
          <w:sz w:val="32"/>
          <w:szCs w:val="32"/>
          <w:shd w:val="clear" w:color="auto" w:fill="FFFFFF"/>
          <w:lang w:eastAsia="zh-CN"/>
        </w:rPr>
        <w:t>，</w:t>
      </w:r>
      <w:r>
        <w:rPr>
          <w:rFonts w:hint="eastAsia" w:ascii="新宋体" w:hAnsi="新宋体" w:eastAsia="方正仿宋简体" w:cs="宋体"/>
          <w:color w:val="333333"/>
          <w:kern w:val="0"/>
          <w:sz w:val="32"/>
          <w:szCs w:val="32"/>
          <w:shd w:val="clear" w:color="auto" w:fill="FFFFFF"/>
        </w:rPr>
        <w:t>主动公开政府信息情况</w:t>
      </w:r>
      <w:r>
        <w:rPr>
          <w:rFonts w:hint="eastAsia" w:ascii="新宋体" w:hAnsi="新宋体" w:eastAsia="方正仿宋简体" w:cs="宋体"/>
          <w:color w:val="333333"/>
          <w:kern w:val="0"/>
          <w:sz w:val="32"/>
          <w:szCs w:val="32"/>
          <w:shd w:val="clear" w:color="auto" w:fill="FFFFFF"/>
          <w:lang w:eastAsia="zh-CN"/>
        </w:rPr>
        <w:t>，</w:t>
      </w:r>
      <w:r>
        <w:rPr>
          <w:rFonts w:hint="eastAsia" w:ascii="新宋体" w:hAnsi="新宋体" w:eastAsia="方正仿宋简体" w:cs="宋体"/>
          <w:color w:val="333333"/>
          <w:kern w:val="0"/>
          <w:sz w:val="32"/>
          <w:szCs w:val="32"/>
          <w:shd w:val="clear" w:color="auto" w:fill="FFFFFF"/>
        </w:rPr>
        <w:t>收到和处理政府信息公开申请情况，政府信息公开行政复议</w:t>
      </w:r>
      <w:r>
        <w:rPr>
          <w:rFonts w:hint="eastAsia" w:ascii="新宋体" w:hAnsi="新宋体" w:eastAsia="方正仿宋简体" w:cs="宋体"/>
          <w:color w:val="333333"/>
          <w:kern w:val="0"/>
          <w:sz w:val="32"/>
          <w:szCs w:val="32"/>
          <w:shd w:val="clear" w:color="auto" w:fill="FFFFFF"/>
          <w:lang w:eastAsia="zh-CN"/>
        </w:rPr>
        <w:t>、</w:t>
      </w:r>
      <w:r>
        <w:rPr>
          <w:rFonts w:hint="eastAsia" w:ascii="新宋体" w:hAnsi="新宋体" w:eastAsia="方正仿宋简体" w:cs="宋体"/>
          <w:color w:val="333333"/>
          <w:kern w:val="0"/>
          <w:sz w:val="32"/>
          <w:szCs w:val="32"/>
          <w:shd w:val="clear" w:color="auto" w:fill="FFFFFF"/>
        </w:rPr>
        <w:t>行政诉讼情况，存在的主要问题及改进情况，其他需要报告的事项等6部分组成，所列数据统计期限自2022年1月1日至2022年12月31日。</w:t>
      </w:r>
    </w:p>
    <w:p>
      <w:pPr>
        <w:widowControl/>
        <w:shd w:val="clear" w:color="auto" w:fill="FFFFFF"/>
        <w:spacing w:line="500" w:lineRule="exact"/>
        <w:ind w:firstLine="709"/>
        <w:rPr>
          <w:rFonts w:hint="eastAsia" w:ascii="黑体" w:hAnsi="黑体" w:eastAsia="黑体" w:cs="宋体"/>
          <w:b/>
          <w:bCs/>
          <w:color w:val="333333"/>
          <w:kern w:val="0"/>
          <w:sz w:val="32"/>
          <w:szCs w:val="32"/>
          <w:shd w:val="clear" w:color="auto" w:fill="FFFFFF"/>
        </w:rPr>
      </w:pPr>
      <w:r>
        <w:rPr>
          <w:rFonts w:hint="eastAsia" w:ascii="黑体" w:hAnsi="黑体" w:eastAsia="黑体" w:cs="宋体"/>
          <w:b/>
          <w:bCs/>
          <w:color w:val="333333"/>
          <w:kern w:val="0"/>
          <w:sz w:val="32"/>
          <w:szCs w:val="32"/>
          <w:shd w:val="clear" w:color="auto" w:fill="FFFFFF"/>
        </w:rPr>
        <w:t>一、总体情况</w:t>
      </w:r>
    </w:p>
    <w:p>
      <w:pPr>
        <w:widowControl/>
        <w:shd w:val="clear" w:color="auto" w:fill="FFFFFF"/>
        <w:spacing w:line="500" w:lineRule="exact"/>
        <w:ind w:firstLine="640" w:firstLineChars="200"/>
        <w:rPr>
          <w:rFonts w:ascii="新宋体" w:hAnsi="新宋体" w:eastAsia="方正仿宋简体" w:cs="宋体"/>
          <w:color w:val="333333"/>
          <w:kern w:val="0"/>
          <w:sz w:val="32"/>
          <w:szCs w:val="32"/>
          <w:shd w:val="clear" w:color="auto" w:fill="FFFFFF"/>
        </w:rPr>
      </w:pPr>
      <w:r>
        <w:rPr>
          <w:rFonts w:hint="eastAsia" w:ascii="新宋体" w:hAnsi="新宋体" w:eastAsia="方正仿宋简体" w:cs="宋体"/>
          <w:color w:val="333333"/>
          <w:kern w:val="0"/>
          <w:sz w:val="32"/>
          <w:szCs w:val="32"/>
          <w:shd w:val="clear" w:color="auto" w:fill="FFFFFF"/>
        </w:rPr>
        <w:t>2022年，和田地区行政公署办公室坚持以习近平新时代中国特色社会主义思想为指导，全面贯彻党的二十大精神，紧紧围绕年度工作要点，认真执行《中华人民共和国政府信息公开条例》和贯彻落实自治区人民政府办公厅有关工作部署，强化大局意识、服务意识，扎实推进政府信息公开</w:t>
      </w:r>
      <w:r>
        <w:rPr>
          <w:rFonts w:hint="eastAsia" w:ascii="新宋体" w:hAnsi="新宋体" w:eastAsia="方正仿宋简体" w:cs="宋体"/>
          <w:color w:val="333333"/>
          <w:kern w:val="0"/>
          <w:sz w:val="32"/>
          <w:szCs w:val="32"/>
          <w:shd w:val="clear" w:color="auto" w:fill="FFFFFF"/>
          <w:lang w:eastAsia="zh-CN"/>
        </w:rPr>
        <w:t>工作</w:t>
      </w:r>
      <w:r>
        <w:rPr>
          <w:rFonts w:hint="eastAsia" w:ascii="新宋体" w:hAnsi="新宋体" w:eastAsia="方正仿宋简体" w:cs="宋体"/>
          <w:color w:val="333333"/>
          <w:kern w:val="0"/>
          <w:sz w:val="32"/>
          <w:szCs w:val="32"/>
          <w:shd w:val="clear" w:color="auto" w:fill="FFFFFF"/>
        </w:rPr>
        <w:t>，促进依法行政和服务型政府建设。</w:t>
      </w:r>
    </w:p>
    <w:p>
      <w:pPr>
        <w:widowControl/>
        <w:shd w:val="clear" w:color="auto" w:fill="FFFFFF"/>
        <w:spacing w:line="500" w:lineRule="exact"/>
        <w:ind w:firstLine="642" w:firstLineChars="200"/>
        <w:rPr>
          <w:rFonts w:ascii="新宋体" w:hAnsi="新宋体"/>
        </w:rPr>
      </w:pPr>
      <w:r>
        <w:rPr>
          <w:rFonts w:hint="eastAsia" w:ascii="楷体_GB2312" w:hAnsi="楷体_GB2312" w:eastAsia="楷体_GB2312" w:cs="宋体"/>
          <w:b/>
          <w:color w:val="333333"/>
          <w:kern w:val="0"/>
          <w:sz w:val="32"/>
          <w:szCs w:val="32"/>
          <w:shd w:val="clear" w:color="auto" w:fill="FFFFFF"/>
        </w:rPr>
        <w:t>（一）主动公开方面。</w:t>
      </w:r>
      <w:r>
        <w:rPr>
          <w:rFonts w:hint="eastAsia" w:ascii="新宋体" w:hAnsi="新宋体" w:eastAsia="方正仿宋简体" w:cs="宋体"/>
          <w:color w:val="333333"/>
          <w:kern w:val="0"/>
          <w:sz w:val="32"/>
          <w:szCs w:val="32"/>
          <w:shd w:val="clear" w:color="auto" w:fill="FFFFFF"/>
        </w:rPr>
        <w:t>以和田地区行政公署网站及“和田政务在线”微信公众号、“和田政务”微博等政务新媒体为载体，主动公开政府信息</w:t>
      </w:r>
      <w:bookmarkStart w:id="0" w:name="_GoBack"/>
      <w:r>
        <w:rPr>
          <w:rFonts w:hint="eastAsia" w:ascii="新宋体" w:hAnsi="新宋体" w:eastAsia="方正仿宋简体" w:cs="宋体"/>
          <w:color w:val="333333"/>
          <w:kern w:val="0"/>
          <w:sz w:val="32"/>
          <w:szCs w:val="32"/>
          <w:shd w:val="clear" w:color="auto" w:fill="FFFFFF"/>
        </w:rPr>
        <w:t>。</w:t>
      </w:r>
      <w:r>
        <w:rPr>
          <w:rFonts w:hint="eastAsia" w:ascii="新宋体" w:hAnsi="新宋体" w:eastAsia="方正仿宋简体" w:cs="宋体"/>
          <w:b/>
          <w:color w:val="333333"/>
          <w:kern w:val="0"/>
          <w:sz w:val="32"/>
          <w:szCs w:val="32"/>
          <w:shd w:val="clear" w:color="auto" w:fill="FFFFFF"/>
        </w:rPr>
        <w:t>一是</w:t>
      </w:r>
      <w:bookmarkEnd w:id="0"/>
      <w:r>
        <w:rPr>
          <w:rFonts w:hint="eastAsia" w:ascii="新宋体" w:hAnsi="新宋体" w:eastAsia="方正仿宋简体" w:cs="宋体"/>
          <w:color w:val="333333"/>
          <w:kern w:val="0"/>
          <w:sz w:val="32"/>
          <w:szCs w:val="32"/>
          <w:shd w:val="clear" w:color="auto" w:fill="FFFFFF"/>
        </w:rPr>
        <w:t>重点领域信息公开方面。</w:t>
      </w:r>
      <w:r>
        <w:rPr>
          <w:rFonts w:hint="eastAsia" w:ascii="新宋体" w:hAnsi="新宋体" w:eastAsia="方正仿宋简体" w:cs="宋体"/>
          <w:color w:val="333333"/>
          <w:kern w:val="0"/>
          <w:sz w:val="32"/>
          <w:szCs w:val="32"/>
          <w:shd w:val="clear" w:color="auto" w:fill="FFFFFF"/>
          <w:lang w:eastAsia="zh-CN"/>
        </w:rPr>
        <w:t>公开</w:t>
      </w:r>
      <w:r>
        <w:rPr>
          <w:rFonts w:hint="eastAsia" w:ascii="新宋体" w:hAnsi="新宋体" w:eastAsia="方正仿宋简体" w:cs="宋体"/>
          <w:color w:val="333333"/>
          <w:kern w:val="0"/>
          <w:sz w:val="32"/>
          <w:szCs w:val="32"/>
          <w:shd w:val="clear" w:color="auto" w:fill="FFFFFF"/>
        </w:rPr>
        <w:t>生态环境信息25篇，财政信息59篇（其中：财政资金下</w:t>
      </w:r>
      <w:r>
        <w:rPr>
          <w:rFonts w:hint="eastAsia" w:ascii="新宋体" w:hAnsi="新宋体" w:eastAsia="方正仿宋简体" w:cs="宋体"/>
          <w:color w:val="333333"/>
          <w:kern w:val="0"/>
          <w:sz w:val="32"/>
          <w:szCs w:val="32"/>
          <w:shd w:val="clear" w:color="auto" w:fill="FFFFFF"/>
          <w:lang w:eastAsia="zh-CN"/>
        </w:rPr>
        <w:t>达</w:t>
      </w:r>
      <w:r>
        <w:rPr>
          <w:rFonts w:hint="eastAsia" w:ascii="新宋体" w:hAnsi="新宋体" w:eastAsia="方正仿宋简体" w:cs="宋体"/>
          <w:color w:val="333333"/>
          <w:kern w:val="0"/>
          <w:sz w:val="32"/>
          <w:szCs w:val="32"/>
          <w:shd w:val="clear" w:color="auto" w:fill="FFFFFF"/>
        </w:rPr>
        <w:t>基层信息51篇），涉农补贴信息3篇，乡村振兴信息23篇（其中：汽车消费补贴信息2篇），义务教育政策信息5篇，就业政策及补助资金信息13篇，养老服务信息8篇，市场监管信息326篇。二</w:t>
      </w:r>
      <w:r>
        <w:rPr>
          <w:rFonts w:hint="eastAsia" w:ascii="新宋体" w:hAnsi="新宋体" w:eastAsia="方正仿宋简体" w:cs="宋体"/>
          <w:b/>
          <w:color w:val="333333"/>
          <w:kern w:val="0"/>
          <w:sz w:val="32"/>
          <w:szCs w:val="32"/>
          <w:shd w:val="clear" w:color="auto" w:fill="FFFFFF"/>
        </w:rPr>
        <w:t>是</w:t>
      </w:r>
      <w:r>
        <w:rPr>
          <w:rFonts w:hint="eastAsia" w:ascii="新宋体" w:hAnsi="新宋体" w:eastAsia="方正仿宋简体" w:cs="宋体"/>
          <w:color w:val="333333"/>
          <w:kern w:val="0"/>
          <w:sz w:val="32"/>
          <w:szCs w:val="32"/>
          <w:shd w:val="clear" w:color="auto" w:fill="FFFFFF"/>
        </w:rPr>
        <w:t>提升政策解读质量方面。全年公开政策解读8篇，通过图文并茂、视频和一问一答形式进行解读，用通俗易懂的方式让公众知晓政策。</w:t>
      </w:r>
    </w:p>
    <w:p>
      <w:pPr>
        <w:widowControl/>
        <w:shd w:val="clear" w:color="auto" w:fill="FFFFFF"/>
        <w:spacing w:line="500" w:lineRule="exact"/>
        <w:ind w:firstLine="642" w:firstLineChars="200"/>
        <w:rPr>
          <w:rFonts w:ascii="新宋体" w:hAnsi="新宋体" w:eastAsia="方正仿宋简体" w:cs="宋体"/>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（二）依申请公开方面。</w:t>
      </w:r>
      <w:r>
        <w:rPr>
          <w:rFonts w:hint="eastAsia" w:ascii="新宋体" w:hAnsi="新宋体" w:eastAsia="方正仿宋简体" w:cs="宋体"/>
          <w:color w:val="333333"/>
          <w:kern w:val="0"/>
          <w:sz w:val="32"/>
          <w:szCs w:val="32"/>
          <w:shd w:val="clear" w:color="auto" w:fill="FFFFFF"/>
        </w:rPr>
        <w:t>畅通受理渠道、精准规范答复意见，建立会商机制，进一步提升依申请公开办理质量。全年收到政府信息公开申请</w:t>
      </w:r>
      <w:r>
        <w:rPr>
          <w:rFonts w:hint="eastAsia" w:ascii="新宋体" w:hAnsi="新宋体" w:eastAsia="方正仿宋简体" w:cs="宋体"/>
          <w:color w:val="333333"/>
          <w:kern w:val="0"/>
          <w:sz w:val="32"/>
          <w:szCs w:val="32"/>
          <w:shd w:val="clear" w:color="auto" w:fill="FFFFFF"/>
          <w:lang w:val="en-US" w:eastAsia="zh-CN"/>
        </w:rPr>
        <w:t>8</w:t>
      </w:r>
      <w:r>
        <w:rPr>
          <w:rFonts w:hint="eastAsia" w:ascii="新宋体" w:hAnsi="新宋体" w:eastAsia="方正仿宋简体" w:cs="宋体"/>
          <w:color w:val="333333"/>
          <w:kern w:val="0"/>
          <w:sz w:val="32"/>
          <w:szCs w:val="32"/>
          <w:shd w:val="clear" w:color="auto" w:fill="FFFFFF"/>
        </w:rPr>
        <w:t>件，当年全部办结。</w:t>
      </w:r>
    </w:p>
    <w:p>
      <w:pPr>
        <w:widowControl/>
        <w:shd w:val="clear" w:color="auto" w:fill="FFFFFF"/>
        <w:spacing w:line="500" w:lineRule="exact"/>
        <w:ind w:firstLine="642" w:firstLineChars="200"/>
        <w:rPr>
          <w:rFonts w:ascii="新宋体" w:hAnsi="新宋体" w:eastAsia="方正仿宋简体" w:cs="宋体"/>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（三）政府信息管理方面。</w:t>
      </w:r>
      <w:r>
        <w:rPr>
          <w:rFonts w:hint="eastAsia" w:ascii="新宋体" w:hAnsi="新宋体" w:eastAsia="方正仿宋简体" w:cs="宋体"/>
          <w:color w:val="333333"/>
          <w:kern w:val="0"/>
          <w:sz w:val="32"/>
          <w:szCs w:val="32"/>
          <w:shd w:val="clear" w:color="auto" w:fill="FFFFFF"/>
        </w:rPr>
        <w:t>严格落实政府信息公开审查制度，认真执行政府信息公开行政复议案件审理制度，梳理拟公开政府信息类型及时公开涉及社会公众利益调整、需要广泛知晓的事项，围绕政务公开、政务服务、政民互动、解读回应等功能定位，进一步加大对政策性文件的宣传解读力度。</w:t>
      </w:r>
    </w:p>
    <w:p>
      <w:pPr>
        <w:widowControl/>
        <w:shd w:val="clear" w:color="auto" w:fill="FFFFFF"/>
        <w:spacing w:line="500" w:lineRule="exact"/>
        <w:ind w:firstLine="642" w:firstLineChars="200"/>
        <w:rPr>
          <w:rFonts w:ascii="新宋体" w:hAnsi="新宋体" w:eastAsia="方正仿宋简体" w:cs="宋体"/>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（四）政府信息公开平台建设方面。</w:t>
      </w:r>
      <w:r>
        <w:rPr>
          <w:rFonts w:hint="eastAsia" w:ascii="新宋体" w:hAnsi="新宋体" w:eastAsia="方正仿宋简体" w:cs="宋体"/>
          <w:color w:val="333333"/>
          <w:kern w:val="0"/>
          <w:sz w:val="32"/>
          <w:szCs w:val="32"/>
          <w:shd w:val="clear" w:color="auto" w:fill="FFFFFF"/>
        </w:rPr>
        <w:t>优化和完善政府网站</w:t>
      </w:r>
      <w:r>
        <w:rPr>
          <w:rFonts w:hint="eastAsia" w:ascii="新宋体" w:hAnsi="新宋体" w:eastAsia="方正仿宋简体" w:cs="宋体"/>
          <w:color w:val="333333"/>
          <w:kern w:val="0"/>
          <w:sz w:val="32"/>
          <w:szCs w:val="32"/>
          <w:shd w:val="clear" w:color="auto" w:fill="FFFFFF"/>
          <w:lang w:eastAsia="zh-CN"/>
        </w:rPr>
        <w:t>信息公开栏目</w:t>
      </w:r>
      <w:r>
        <w:rPr>
          <w:rFonts w:hint="eastAsia" w:ascii="新宋体" w:hAnsi="新宋体" w:eastAsia="方正仿宋简体" w:cs="宋体"/>
          <w:color w:val="333333"/>
          <w:kern w:val="0"/>
          <w:sz w:val="32"/>
          <w:szCs w:val="32"/>
          <w:shd w:val="clear" w:color="auto" w:fill="FFFFFF"/>
        </w:rPr>
        <w:t>、政务新媒体</w:t>
      </w:r>
      <w:r>
        <w:rPr>
          <w:rFonts w:hint="eastAsia" w:ascii="新宋体" w:hAnsi="新宋体" w:eastAsia="方正仿宋简体" w:cs="宋体"/>
          <w:color w:val="333333"/>
          <w:kern w:val="0"/>
          <w:sz w:val="32"/>
          <w:szCs w:val="32"/>
          <w:shd w:val="clear" w:color="auto" w:fill="FFFFFF"/>
          <w:lang w:eastAsia="zh-CN"/>
        </w:rPr>
        <w:t>功能，</w:t>
      </w:r>
      <w:r>
        <w:rPr>
          <w:rFonts w:hint="eastAsia" w:ascii="新宋体" w:hAnsi="新宋体" w:eastAsia="方正仿宋简体" w:cs="宋体"/>
          <w:color w:val="333333"/>
          <w:kern w:val="0"/>
          <w:sz w:val="32"/>
          <w:szCs w:val="32"/>
          <w:shd w:val="clear" w:color="auto" w:fill="FFFFFF"/>
        </w:rPr>
        <w:t>强化信息公开的实用性、易用性，让群众能看的懂，听的明白。</w:t>
      </w:r>
    </w:p>
    <w:p>
      <w:pPr>
        <w:widowControl/>
        <w:shd w:val="clear" w:color="auto" w:fill="FFFFFF"/>
        <w:spacing w:line="500" w:lineRule="exact"/>
        <w:ind w:firstLine="642" w:firstLineChars="200"/>
        <w:rPr>
          <w:rFonts w:ascii="新宋体" w:hAnsi="新宋体" w:eastAsia="方正仿宋简体" w:cs="宋体"/>
          <w:b/>
          <w:bCs/>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（五）监督保障方面。</w:t>
      </w:r>
      <w:r>
        <w:rPr>
          <w:rFonts w:hint="eastAsia" w:ascii="新宋体" w:hAnsi="新宋体" w:eastAsia="方正仿宋简体" w:cs="宋体"/>
          <w:color w:val="333333"/>
          <w:kern w:val="0"/>
          <w:sz w:val="32"/>
          <w:szCs w:val="32"/>
          <w:shd w:val="clear" w:color="auto" w:fill="FFFFFF"/>
        </w:rPr>
        <w:t>成立政务公开领导小组，</w:t>
      </w:r>
      <w:r>
        <w:rPr>
          <w:rFonts w:hint="eastAsia" w:ascii="新宋体" w:hAnsi="新宋体" w:eastAsia="方正仿宋简体" w:cs="宋体"/>
          <w:sz w:val="32"/>
          <w:szCs w:val="32"/>
        </w:rPr>
        <w:t>明确责任细则、压实相关责任，将政府信息公开工作纳入考核，</w:t>
      </w:r>
      <w:r>
        <w:rPr>
          <w:rFonts w:hint="eastAsia" w:ascii="新宋体" w:hAnsi="新宋体" w:eastAsia="方正仿宋简体" w:cs="宋体"/>
          <w:color w:val="333333"/>
          <w:kern w:val="0"/>
          <w:sz w:val="32"/>
          <w:szCs w:val="32"/>
          <w:shd w:val="clear" w:color="auto" w:fill="FFFFFF"/>
        </w:rPr>
        <w:t>定期开展检查和自查，以检查促落实，以考核促落实，形成合理有序的监督、考评机制，确保政务公开工作有章可循、顺利推进。</w:t>
      </w:r>
    </w:p>
    <w:p>
      <w:pPr>
        <w:widowControl/>
        <w:shd w:val="clear" w:color="auto" w:fill="FFFFFF"/>
        <w:spacing w:line="520" w:lineRule="exact"/>
        <w:ind w:firstLine="709"/>
        <w:rPr>
          <w:rFonts w:hint="eastAsia" w:ascii="黑体" w:hAnsi="黑体" w:eastAsia="黑体" w:cs="宋体"/>
          <w:b/>
          <w:bCs/>
          <w:color w:val="333333"/>
          <w:kern w:val="0"/>
          <w:sz w:val="32"/>
          <w:szCs w:val="32"/>
          <w:shd w:val="clear" w:color="auto" w:fill="FFFFFF"/>
        </w:rPr>
      </w:pPr>
      <w:r>
        <w:rPr>
          <w:rFonts w:hint="eastAsia" w:ascii="黑体" w:hAnsi="黑体" w:eastAsia="黑体" w:cs="宋体"/>
          <w:b/>
          <w:bCs/>
          <w:color w:val="333333"/>
          <w:kern w:val="0"/>
          <w:sz w:val="32"/>
          <w:szCs w:val="32"/>
          <w:shd w:val="clear" w:color="auto" w:fill="FFFFFF"/>
        </w:rPr>
        <w:t>二、主动公开政府信息情况</w:t>
      </w:r>
    </w:p>
    <w:tbl>
      <w:tblPr>
        <w:tblStyle w:val="14"/>
        <w:tblpPr w:leftFromText="180" w:rightFromText="180" w:vertAnchor="text" w:horzAnchor="page" w:tblpXSpec="center" w:tblpY="144"/>
        <w:tblOverlap w:val="never"/>
        <w:tblW w:w="9740" w:type="dxa"/>
        <w:jc w:val="center"/>
        <w:tblLayout w:type="fixed"/>
        <w:tblCellMar>
          <w:top w:w="0" w:type="dxa"/>
          <w:left w:w="0" w:type="dxa"/>
          <w:bottom w:w="0" w:type="dxa"/>
          <w:right w:w="0" w:type="dxa"/>
        </w:tblCellMar>
      </w:tblPr>
      <w:tblGrid>
        <w:gridCol w:w="2435"/>
        <w:gridCol w:w="2436"/>
        <w:gridCol w:w="2434"/>
        <w:gridCol w:w="2435"/>
      </w:tblGrid>
      <w:tr>
        <w:tblPrEx>
          <w:tblCellMar>
            <w:top w:w="0" w:type="dxa"/>
            <w:left w:w="0" w:type="dxa"/>
            <w:bottom w:w="0" w:type="dxa"/>
            <w:right w:w="0" w:type="dxa"/>
          </w:tblCellMar>
        </w:tblPrEx>
        <w:trPr>
          <w:trHeight w:val="381"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第二十条第（一）项</w:t>
            </w:r>
          </w:p>
        </w:tc>
      </w:tr>
      <w:tr>
        <w:tblPrEx>
          <w:tblCellMar>
            <w:top w:w="0" w:type="dxa"/>
            <w:left w:w="0" w:type="dxa"/>
            <w:bottom w:w="0" w:type="dxa"/>
            <w:right w:w="0" w:type="dxa"/>
          </w:tblCellMar>
        </w:tblPrEx>
        <w:trPr>
          <w:trHeight w:val="353"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信息内容</w:t>
            </w:r>
          </w:p>
        </w:tc>
        <w:tc>
          <w:tcPr>
            <w:tcW w:w="243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本年</w:t>
            </w:r>
            <w:r>
              <w:rPr>
                <w:rFonts w:hint="eastAsia" w:ascii="新宋体" w:hAnsi="新宋体" w:eastAsia="方正仿宋简体" w:cs="宋体"/>
                <w:kern w:val="0"/>
                <w:sz w:val="20"/>
                <w:szCs w:val="20"/>
              </w:rPr>
              <w:t>制发件数</w:t>
            </w:r>
          </w:p>
        </w:tc>
        <w:tc>
          <w:tcPr>
            <w:tcW w:w="243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现行有效件</w:t>
            </w:r>
            <w:r>
              <w:rPr>
                <w:rFonts w:hint="eastAsia" w:ascii="新宋体" w:hAnsi="新宋体" w:eastAsia="方正仿宋简体" w:cs="宋体"/>
                <w:kern w:val="0"/>
                <w:sz w:val="20"/>
                <w:szCs w:val="20"/>
              </w:rPr>
              <w:t>数</w:t>
            </w:r>
          </w:p>
        </w:tc>
      </w:tr>
      <w:tr>
        <w:tblPrEx>
          <w:tblCellMar>
            <w:top w:w="0" w:type="dxa"/>
            <w:left w:w="0" w:type="dxa"/>
            <w:bottom w:w="0" w:type="dxa"/>
            <w:right w:w="0" w:type="dxa"/>
          </w:tblCellMar>
        </w:tblPrEx>
        <w:trPr>
          <w:trHeight w:val="377"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规章</w:t>
            </w:r>
          </w:p>
        </w:tc>
        <w:tc>
          <w:tcPr>
            <w:tcW w:w="243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0</w:t>
            </w:r>
          </w:p>
        </w:tc>
        <w:tc>
          <w:tcPr>
            <w:tcW w:w="24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Calibri"/>
                <w:kern w:val="0"/>
                <w:sz w:val="20"/>
                <w:szCs w:val="20"/>
              </w:rPr>
              <w:t>0</w:t>
            </w:r>
          </w:p>
        </w:tc>
      </w:tr>
      <w:tr>
        <w:tblPrEx>
          <w:tblCellMar>
            <w:top w:w="0" w:type="dxa"/>
            <w:left w:w="0" w:type="dxa"/>
            <w:bottom w:w="0" w:type="dxa"/>
            <w:right w:w="0" w:type="dxa"/>
          </w:tblCellMar>
        </w:tblPrEx>
        <w:trPr>
          <w:trHeight w:val="413"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行政规范性文件</w:t>
            </w:r>
          </w:p>
        </w:tc>
        <w:tc>
          <w:tcPr>
            <w:tcW w:w="243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新宋体" w:hAnsi="新宋体" w:eastAsia="方正仿宋简体"/>
                <w:sz w:val="20"/>
                <w:szCs w:val="20"/>
                <w:lang w:eastAsia="zh-CN"/>
              </w:rPr>
            </w:pPr>
            <w:r>
              <w:rPr>
                <w:rFonts w:hint="eastAsia" w:ascii="新宋体" w:hAnsi="新宋体" w:eastAsia="方正仿宋简体" w:cs="宋体"/>
                <w:color w:val="000000"/>
                <w:kern w:val="0"/>
                <w:sz w:val="20"/>
                <w:szCs w:val="20"/>
                <w:lang w:val="en-US" w:eastAsia="zh-CN"/>
              </w:rPr>
              <w:t>5</w:t>
            </w:r>
          </w:p>
        </w:tc>
        <w:tc>
          <w:tcPr>
            <w:tcW w:w="24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新宋体" w:hAnsi="新宋体" w:eastAsia="方正仿宋简体"/>
                <w:sz w:val="20"/>
                <w:szCs w:val="20"/>
                <w:lang w:eastAsia="zh-CN"/>
              </w:rPr>
            </w:pPr>
            <w:r>
              <w:rPr>
                <w:rFonts w:hint="eastAsia" w:ascii="新宋体" w:hAnsi="新宋体" w:eastAsia="方正仿宋简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default" w:ascii="新宋体" w:hAnsi="新宋体" w:eastAsia="方正仿宋简体"/>
                <w:sz w:val="20"/>
                <w:szCs w:val="20"/>
                <w:lang w:val="en-US" w:eastAsia="zh-CN"/>
              </w:rPr>
            </w:pPr>
            <w:r>
              <w:rPr>
                <w:rFonts w:hint="eastAsia" w:ascii="新宋体" w:hAnsi="新宋体" w:eastAsia="方正仿宋简体"/>
                <w:color w:val="000000" w:themeColor="text1"/>
                <w:sz w:val="20"/>
                <w:szCs w:val="20"/>
                <w:lang w:val="en-US" w:eastAsia="zh-CN"/>
              </w:rPr>
              <w:t>131</w:t>
            </w:r>
          </w:p>
        </w:tc>
      </w:tr>
      <w:tr>
        <w:tblPrEx>
          <w:tblCellMar>
            <w:top w:w="0" w:type="dxa"/>
            <w:left w:w="0" w:type="dxa"/>
            <w:bottom w:w="0" w:type="dxa"/>
            <w:right w:w="0" w:type="dxa"/>
          </w:tblCellMar>
        </w:tblPrEx>
        <w:trPr>
          <w:trHeight w:val="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第二十条第（五）项</w:t>
            </w:r>
          </w:p>
        </w:tc>
      </w:tr>
      <w:tr>
        <w:tblPrEx>
          <w:tblCellMar>
            <w:top w:w="0" w:type="dxa"/>
            <w:left w:w="0" w:type="dxa"/>
            <w:bottom w:w="0" w:type="dxa"/>
            <w:right w:w="0" w:type="dxa"/>
          </w:tblCellMar>
        </w:tblPrEx>
        <w:trPr>
          <w:trHeight w:val="365"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本年处理决定数量</w:t>
            </w:r>
          </w:p>
        </w:tc>
      </w:tr>
      <w:tr>
        <w:tblPrEx>
          <w:tblCellMar>
            <w:top w:w="0" w:type="dxa"/>
            <w:left w:w="0" w:type="dxa"/>
            <w:bottom w:w="0" w:type="dxa"/>
            <w:right w:w="0" w:type="dxa"/>
          </w:tblCellMar>
        </w:tblPrEx>
        <w:trPr>
          <w:trHeight w:val="329"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宋体" w:cs="宋体"/>
                <w:color w:val="000000" w:themeColor="text1"/>
                <w:kern w:val="0"/>
                <w:sz w:val="20"/>
                <w:szCs w:val="20"/>
              </w:rPr>
              <w:t>0</w:t>
            </w:r>
          </w:p>
        </w:tc>
      </w:tr>
      <w:tr>
        <w:tblPrEx>
          <w:tblCellMar>
            <w:top w:w="0" w:type="dxa"/>
            <w:left w:w="0" w:type="dxa"/>
            <w:bottom w:w="0" w:type="dxa"/>
            <w:right w:w="0" w:type="dxa"/>
          </w:tblCellMar>
        </w:tblPrEx>
        <w:trPr>
          <w:trHeight w:val="401"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第二十条第（六）项</w:t>
            </w:r>
          </w:p>
        </w:tc>
      </w:tr>
      <w:tr>
        <w:tblPrEx>
          <w:tblCellMar>
            <w:top w:w="0" w:type="dxa"/>
            <w:left w:w="0" w:type="dxa"/>
            <w:bottom w:w="0" w:type="dxa"/>
            <w:right w:w="0" w:type="dxa"/>
          </w:tblCellMar>
        </w:tblPrEx>
        <w:trPr>
          <w:trHeight w:val="377"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本年处理决定数量</w:t>
            </w:r>
          </w:p>
        </w:tc>
      </w:tr>
      <w:tr>
        <w:tblPrEx>
          <w:tblCellMar>
            <w:top w:w="0" w:type="dxa"/>
            <w:left w:w="0" w:type="dxa"/>
            <w:bottom w:w="0" w:type="dxa"/>
            <w:right w:w="0" w:type="dxa"/>
          </w:tblCellMar>
        </w:tblPrEx>
        <w:trPr>
          <w:trHeight w:val="341"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宋体" w:cs="宋体"/>
                <w:color w:val="000000" w:themeColor="text1"/>
                <w:kern w:val="0"/>
                <w:sz w:val="20"/>
                <w:szCs w:val="20"/>
              </w:rPr>
              <w:t>0</w:t>
            </w:r>
          </w:p>
        </w:tc>
      </w:tr>
      <w:tr>
        <w:tblPrEx>
          <w:tblCellMar>
            <w:top w:w="0" w:type="dxa"/>
            <w:left w:w="0" w:type="dxa"/>
            <w:bottom w:w="0" w:type="dxa"/>
            <w:right w:w="0" w:type="dxa"/>
          </w:tblCellMar>
        </w:tblPrEx>
        <w:trPr>
          <w:trHeight w:val="353"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0</w:t>
            </w:r>
          </w:p>
        </w:tc>
      </w:tr>
      <w:tr>
        <w:tblPrEx>
          <w:tblCellMar>
            <w:top w:w="0" w:type="dxa"/>
            <w:left w:w="0" w:type="dxa"/>
            <w:bottom w:w="0" w:type="dxa"/>
            <w:right w:w="0" w:type="dxa"/>
          </w:tblCellMar>
        </w:tblPrEx>
        <w:trPr>
          <w:trHeight w:val="43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第二十条第（八）项</w:t>
            </w:r>
          </w:p>
        </w:tc>
      </w:tr>
      <w:tr>
        <w:tblPrEx>
          <w:tblCellMar>
            <w:top w:w="0" w:type="dxa"/>
            <w:left w:w="0" w:type="dxa"/>
            <w:bottom w:w="0" w:type="dxa"/>
            <w:right w:w="0" w:type="dxa"/>
          </w:tblCellMar>
        </w:tblPrEx>
        <w:trPr>
          <w:trHeight w:val="413"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本年收费金额（单位：万元）</w:t>
            </w:r>
          </w:p>
        </w:tc>
      </w:tr>
      <w:tr>
        <w:tblPrEx>
          <w:tblCellMar>
            <w:top w:w="0" w:type="dxa"/>
            <w:left w:w="0" w:type="dxa"/>
            <w:bottom w:w="0" w:type="dxa"/>
            <w:right w:w="0" w:type="dxa"/>
          </w:tblCellMar>
        </w:tblPrEx>
        <w:trPr>
          <w:trHeight w:val="4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sz w:val="20"/>
                <w:szCs w:val="20"/>
              </w:rPr>
            </w:pPr>
            <w:r>
              <w:rPr>
                <w:rFonts w:hint="eastAsia" w:ascii="新宋体" w:hAnsi="新宋体" w:eastAsia="方正仿宋简体"/>
                <w:sz w:val="20"/>
                <w:szCs w:val="20"/>
              </w:rPr>
              <w:t>0</w:t>
            </w:r>
          </w:p>
        </w:tc>
      </w:tr>
    </w:tbl>
    <w:p>
      <w:pPr>
        <w:widowControl/>
        <w:shd w:val="clear" w:color="auto" w:fill="FFFFFF"/>
        <w:spacing w:line="520" w:lineRule="exact"/>
        <w:ind w:firstLine="642" w:firstLineChars="200"/>
        <w:rPr>
          <w:rFonts w:hint="eastAsia" w:ascii="黑体" w:hAnsi="黑体" w:eastAsia="黑体" w:cs="宋体"/>
          <w:b/>
          <w:bCs/>
          <w:color w:val="333333"/>
          <w:kern w:val="0"/>
          <w:sz w:val="32"/>
          <w:szCs w:val="32"/>
          <w:shd w:val="clear" w:color="auto" w:fill="FFFFFF"/>
        </w:rPr>
      </w:pPr>
      <w:r>
        <w:rPr>
          <w:rFonts w:hint="eastAsia" w:ascii="黑体" w:hAnsi="黑体" w:eastAsia="黑体" w:cs="宋体"/>
          <w:b/>
          <w:bCs/>
          <w:color w:val="333333"/>
          <w:kern w:val="0"/>
          <w:sz w:val="32"/>
          <w:szCs w:val="32"/>
          <w:shd w:val="clear" w:color="auto" w:fill="FFFFFF"/>
        </w:rPr>
        <w:t>三、收到和处理政府信息公开申请情况</w:t>
      </w:r>
    </w:p>
    <w:tbl>
      <w:tblPr>
        <w:tblStyle w:val="14"/>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785"/>
        <w:gridCol w:w="3452"/>
        <w:gridCol w:w="697"/>
        <w:gridCol w:w="697"/>
        <w:gridCol w:w="697"/>
        <w:gridCol w:w="697"/>
        <w:gridCol w:w="697"/>
        <w:gridCol w:w="697"/>
        <w:gridCol w:w="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楷体"/>
                <w:kern w:val="0"/>
                <w:sz w:val="20"/>
                <w:szCs w:val="20"/>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企业</w:t>
            </w:r>
          </w:p>
        </w:tc>
        <w:tc>
          <w:tcPr>
            <w:tcW w:w="6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机构</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8</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szCs w:val="22"/>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6</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（二）部分公开</w:t>
            </w:r>
            <w:r>
              <w:rPr>
                <w:rFonts w:hint="eastAsia" w:ascii="新宋体" w:hAnsi="新宋体" w:eastAsia="方正仿宋简体" w:cs="楷体"/>
                <w:kern w:val="0"/>
                <w:sz w:val="20"/>
                <w:szCs w:val="20"/>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1</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（三）不予公开</w:t>
            </w: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（四）无法提供</w:t>
            </w: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1</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（五）不予处理</w:t>
            </w: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（六）其他处理</w:t>
            </w:r>
          </w:p>
        </w:tc>
        <w:tc>
          <w:tcPr>
            <w:tcW w:w="345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785"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345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ascii="新宋体" w:hAnsi="新宋体" w:eastAsia="方正仿宋简体"/>
                <w:sz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8</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新宋体" w:hAnsi="新宋体" w:eastAsia="方正仿宋简体"/>
                <w:szCs w:val="22"/>
              </w:rPr>
            </w:pPr>
            <w:r>
              <w:rPr>
                <w:rFonts w:hint="eastAsia" w:ascii="新宋体" w:hAnsi="新宋体" w:eastAsia="方正仿宋简体" w:cs="宋体"/>
                <w:kern w:val="0"/>
                <w:sz w:val="20"/>
                <w:szCs w:val="20"/>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Cs w:val="22"/>
              </w:rPr>
            </w:pPr>
            <w:r>
              <w:rPr>
                <w:rFonts w:hint="eastAsia" w:ascii="新宋体" w:hAnsi="新宋体" w:eastAsia="方正仿宋简体" w:cs="Calibri"/>
                <w:kern w:val="0"/>
                <w:sz w:val="20"/>
                <w:szCs w:val="20"/>
              </w:rPr>
              <w:t>0</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新宋体" w:hAnsi="新宋体" w:eastAsia="方正仿宋简体"/>
                <w:sz w:val="24"/>
              </w:rPr>
            </w:pPr>
            <w:r>
              <w:rPr>
                <w:rFonts w:hint="eastAsia" w:ascii="新宋体" w:hAnsi="新宋体" w:eastAsia="方正仿宋简体" w:cs="Calibri"/>
                <w:kern w:val="0"/>
                <w:sz w:val="20"/>
                <w:szCs w:val="20"/>
              </w:rPr>
              <w:t>0</w:t>
            </w:r>
          </w:p>
        </w:tc>
      </w:tr>
    </w:tbl>
    <w:p>
      <w:pPr>
        <w:widowControl/>
        <w:shd w:val="clear" w:color="auto" w:fill="FFFFFF"/>
        <w:spacing w:line="520" w:lineRule="exact"/>
        <w:ind w:firstLine="709"/>
        <w:rPr>
          <w:rFonts w:hint="eastAsia" w:ascii="黑体" w:hAnsi="黑体" w:eastAsia="黑体" w:cs="宋体"/>
          <w:color w:val="333333"/>
          <w:sz w:val="24"/>
        </w:rPr>
      </w:pPr>
      <w:r>
        <w:rPr>
          <w:rFonts w:hint="eastAsia" w:ascii="黑体" w:hAnsi="黑体" w:eastAsia="黑体" w:cs="宋体"/>
          <w:b/>
          <w:bCs/>
          <w:color w:val="333333"/>
          <w:kern w:val="0"/>
          <w:sz w:val="32"/>
          <w:szCs w:val="32"/>
          <w:shd w:val="clear" w:color="auto" w:fill="FFFFFF"/>
        </w:rPr>
        <w:t>四、政府信息公开行政复议、行政诉讼情况</w:t>
      </w:r>
    </w:p>
    <w:tbl>
      <w:tblPr>
        <w:tblStyle w:val="14"/>
        <w:tblW w:w="9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7"/>
        <w:gridCol w:w="648"/>
        <w:gridCol w:w="647"/>
        <w:gridCol w:w="648"/>
        <w:gridCol w:w="646"/>
        <w:gridCol w:w="647"/>
        <w:gridCol w:w="648"/>
        <w:gridCol w:w="648"/>
        <w:gridCol w:w="648"/>
        <w:gridCol w:w="648"/>
        <w:gridCol w:w="649"/>
        <w:gridCol w:w="648"/>
        <w:gridCol w:w="649"/>
        <w:gridCol w:w="648"/>
        <w:gridCol w:w="7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23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行政复议</w:t>
            </w:r>
          </w:p>
        </w:tc>
        <w:tc>
          <w:tcPr>
            <w:tcW w:w="6584"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1" w:hRule="atLeast"/>
          <w:jc w:val="center"/>
        </w:trPr>
        <w:tc>
          <w:tcPr>
            <w:tcW w:w="64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结果维持</w:t>
            </w:r>
          </w:p>
        </w:tc>
        <w:tc>
          <w:tcPr>
            <w:tcW w:w="64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纠正</w:t>
            </w:r>
          </w:p>
        </w:tc>
        <w:tc>
          <w:tcPr>
            <w:tcW w:w="64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其他</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结果</w:t>
            </w:r>
          </w:p>
        </w:tc>
        <w:tc>
          <w:tcPr>
            <w:tcW w:w="64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尚未</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审结</w:t>
            </w:r>
          </w:p>
        </w:tc>
        <w:tc>
          <w:tcPr>
            <w:tcW w:w="64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总计</w:t>
            </w:r>
          </w:p>
        </w:tc>
        <w:tc>
          <w:tcPr>
            <w:tcW w:w="323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未经复议直接起诉</w:t>
            </w:r>
          </w:p>
        </w:tc>
        <w:tc>
          <w:tcPr>
            <w:tcW w:w="33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9" w:hRule="atLeast"/>
          <w:jc w:val="center"/>
        </w:trPr>
        <w:tc>
          <w:tcPr>
            <w:tcW w:w="64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ascii="新宋体" w:hAnsi="新宋体" w:eastAsia="方正仿宋简体"/>
                <w:sz w:val="24"/>
              </w:rPr>
            </w:pPr>
          </w:p>
        </w:tc>
        <w:tc>
          <w:tcPr>
            <w:tcW w:w="64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ascii="新宋体" w:hAnsi="新宋体" w:eastAsia="方正仿宋简体"/>
                <w:sz w:val="24"/>
              </w:rPr>
            </w:pPr>
          </w:p>
        </w:tc>
        <w:tc>
          <w:tcPr>
            <w:tcW w:w="64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ascii="新宋体" w:hAnsi="新宋体" w:eastAsia="方正仿宋简体"/>
                <w:sz w:val="24"/>
              </w:rPr>
            </w:pPr>
          </w:p>
        </w:tc>
        <w:tc>
          <w:tcPr>
            <w:tcW w:w="64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ascii="新宋体" w:hAnsi="新宋体" w:eastAsia="方正仿宋简体"/>
                <w:sz w:val="24"/>
              </w:rPr>
            </w:pPr>
          </w:p>
        </w:tc>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outlineLvl w:val="9"/>
              <w:rPr>
                <w:rFonts w:ascii="新宋体" w:hAnsi="新宋体" w:eastAsia="方正仿宋简体"/>
                <w:sz w:val="24"/>
              </w:rPr>
            </w:pP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维持</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纠正</w:t>
            </w:r>
          </w:p>
        </w:tc>
        <w:tc>
          <w:tcPr>
            <w:tcW w:w="6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其他</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结果</w:t>
            </w:r>
          </w:p>
        </w:tc>
        <w:tc>
          <w:tcPr>
            <w:tcW w:w="6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尚未</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审结</w:t>
            </w:r>
          </w:p>
        </w:tc>
        <w:tc>
          <w:tcPr>
            <w:tcW w:w="6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color w:val="000000"/>
                <w:kern w:val="0"/>
                <w:sz w:val="20"/>
                <w:szCs w:val="20"/>
              </w:rPr>
              <w:t>总计</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维持</w:t>
            </w:r>
          </w:p>
        </w:tc>
        <w:tc>
          <w:tcPr>
            <w:tcW w:w="6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结果</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纠正</w:t>
            </w:r>
          </w:p>
        </w:tc>
        <w:tc>
          <w:tcPr>
            <w:tcW w:w="6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color w:val="000000"/>
                <w:kern w:val="0"/>
                <w:sz w:val="20"/>
                <w:szCs w:val="20"/>
              </w:rPr>
              <w:t>其他</w:t>
            </w:r>
            <w:r>
              <w:rPr>
                <w:rFonts w:hint="eastAsia" w:ascii="新宋体" w:hAnsi="新宋体" w:eastAsia="方正仿宋简体" w:cs="宋体"/>
                <w:color w:val="000000"/>
                <w:kern w:val="0"/>
                <w:sz w:val="20"/>
                <w:szCs w:val="20"/>
              </w:rPr>
              <w:br w:type="textWrapping"/>
            </w:r>
            <w:r>
              <w:rPr>
                <w:rFonts w:hint="eastAsia" w:ascii="新宋体" w:hAnsi="新宋体" w:eastAsia="方正仿宋简体" w:cs="宋体"/>
                <w:color w:val="000000"/>
                <w:kern w:val="0"/>
                <w:sz w:val="20"/>
                <w:szCs w:val="20"/>
              </w:rPr>
              <w:t>结果</w:t>
            </w:r>
          </w:p>
        </w:tc>
        <w:tc>
          <w:tcPr>
            <w:tcW w:w="64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kern w:val="0"/>
                <w:sz w:val="20"/>
                <w:szCs w:val="20"/>
              </w:rPr>
              <w:t>尚未</w:t>
            </w:r>
            <w:r>
              <w:rPr>
                <w:rFonts w:hint="eastAsia" w:ascii="新宋体" w:hAnsi="新宋体" w:eastAsia="方正仿宋简体" w:cs="宋体"/>
                <w:kern w:val="0"/>
                <w:sz w:val="20"/>
                <w:szCs w:val="20"/>
              </w:rPr>
              <w:br w:type="textWrapping"/>
            </w:r>
            <w:r>
              <w:rPr>
                <w:rFonts w:hint="eastAsia" w:ascii="新宋体" w:hAnsi="新宋体" w:eastAsia="方正仿宋简体" w:cs="宋体"/>
                <w:kern w:val="0"/>
                <w:sz w:val="20"/>
                <w:szCs w:val="20"/>
              </w:rPr>
              <w:t>审结</w:t>
            </w:r>
          </w:p>
        </w:tc>
        <w:tc>
          <w:tcPr>
            <w:tcW w:w="7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新宋体" w:hAnsi="新宋体" w:eastAsia="方正仿宋简体"/>
              </w:rPr>
            </w:pPr>
            <w:r>
              <w:rPr>
                <w:rFonts w:hint="eastAsia" w:ascii="新宋体" w:hAnsi="新宋体" w:eastAsia="方正仿宋简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黑体"/>
                <w:kern w:val="0"/>
                <w:sz w:val="20"/>
                <w:szCs w:val="20"/>
              </w:rPr>
              <w:t>0</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黑体"/>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黑体"/>
                <w:kern w:val="0"/>
                <w:sz w:val="20"/>
                <w:szCs w:val="20"/>
              </w:rPr>
              <w:t>0</w:t>
            </w: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rPr>
              <w:t>0</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黑体"/>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Calibri"/>
                <w:kern w:val="0"/>
                <w:sz w:val="20"/>
                <w:szCs w:val="20"/>
              </w:rPr>
              <w:t>0</w:t>
            </w:r>
          </w:p>
        </w:tc>
        <w:tc>
          <w:tcPr>
            <w:tcW w:w="64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rPr>
            </w:pPr>
            <w:r>
              <w:rPr>
                <w:rFonts w:hint="eastAsia" w:ascii="宋体" w:hAnsi="宋体" w:eastAsia="宋体" w:cs="黑体"/>
                <w:kern w:val="0"/>
                <w:sz w:val="20"/>
                <w:szCs w:val="20"/>
              </w:rPr>
              <w:t>0</w:t>
            </w:r>
          </w:p>
        </w:tc>
        <w:tc>
          <w:tcPr>
            <w:tcW w:w="7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sz w:val="24"/>
              </w:rPr>
            </w:pPr>
            <w:r>
              <w:rPr>
                <w:rFonts w:hint="eastAsia" w:ascii="宋体" w:hAnsi="宋体" w:eastAsia="宋体" w:cs="Calibri"/>
                <w:kern w:val="0"/>
                <w:sz w:val="20"/>
                <w:szCs w:val="20"/>
              </w:rPr>
              <w:t>0</w:t>
            </w:r>
          </w:p>
        </w:tc>
      </w:tr>
    </w:tbl>
    <w:p>
      <w:pPr>
        <w:widowControl/>
        <w:shd w:val="clear" w:color="auto" w:fill="FFFFFF"/>
        <w:spacing w:line="520" w:lineRule="exact"/>
        <w:ind w:firstLine="709"/>
        <w:rPr>
          <w:rFonts w:hint="eastAsia" w:ascii="黑体" w:hAnsi="黑体" w:eastAsia="黑体" w:cs="宋体"/>
          <w:b/>
          <w:bCs/>
          <w:color w:val="333333"/>
          <w:kern w:val="0"/>
          <w:sz w:val="32"/>
          <w:szCs w:val="32"/>
          <w:shd w:val="clear" w:color="auto" w:fill="FFFFFF"/>
        </w:rPr>
      </w:pPr>
      <w:r>
        <w:rPr>
          <w:rFonts w:hint="eastAsia" w:ascii="黑体" w:hAnsi="黑体" w:eastAsia="黑体" w:cs="宋体"/>
          <w:b/>
          <w:bCs/>
          <w:color w:val="333333"/>
          <w:kern w:val="0"/>
          <w:sz w:val="32"/>
          <w:szCs w:val="32"/>
          <w:shd w:val="clear" w:color="auto" w:fill="FFFFFF"/>
        </w:rPr>
        <w:t>五、存在的主要问题及改进情况</w:t>
      </w:r>
    </w:p>
    <w:p>
      <w:pPr>
        <w:widowControl/>
        <w:shd w:val="clear" w:color="auto" w:fill="FFFFFF"/>
        <w:spacing w:line="520" w:lineRule="exact"/>
        <w:ind w:firstLine="709" w:firstLineChars="221"/>
        <w:rPr>
          <w:rFonts w:ascii="新宋体" w:hAnsi="新宋体" w:eastAsia="方正仿宋简体" w:cs="宋体"/>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（一）主要问题。</w:t>
      </w:r>
      <w:r>
        <w:rPr>
          <w:rFonts w:hint="eastAsia" w:ascii="新宋体" w:hAnsi="新宋体" w:eastAsia="方正仿宋简体" w:cs="宋体"/>
          <w:color w:val="333333"/>
          <w:kern w:val="0"/>
          <w:sz w:val="32"/>
          <w:szCs w:val="32"/>
          <w:shd w:val="clear" w:color="auto" w:fill="FFFFFF"/>
        </w:rPr>
        <w:t>政府信息公开实用性有待提高。涉及公众切身利益、需要公众广泛知晓的民生领域、重点领域和政策解读等信息公开质量不足，公开内容单一化、表面化，缺乏深层次解读。</w:t>
      </w:r>
    </w:p>
    <w:p>
      <w:pPr>
        <w:pStyle w:val="2"/>
        <w:spacing w:line="520" w:lineRule="exact"/>
        <w:ind w:left="0" w:leftChars="0" w:firstLine="643"/>
        <w:rPr>
          <w:rFonts w:ascii="新宋体" w:hAnsi="新宋体" w:eastAsia="方正仿宋简体" w:cs="宋体"/>
          <w:color w:val="333333"/>
          <w:kern w:val="0"/>
          <w:sz w:val="32"/>
          <w:szCs w:val="32"/>
          <w:shd w:val="clear" w:color="auto" w:fill="FFFFFF"/>
        </w:rPr>
      </w:pPr>
      <w:r>
        <w:rPr>
          <w:rFonts w:hint="eastAsia" w:ascii="楷体_GB2312" w:hAnsi="楷体_GB2312" w:eastAsia="楷体_GB2312" w:cs="宋体"/>
          <w:b/>
          <w:color w:val="333333"/>
          <w:kern w:val="0"/>
          <w:sz w:val="32"/>
          <w:szCs w:val="32"/>
          <w:shd w:val="clear" w:color="auto" w:fill="FFFFFF"/>
        </w:rPr>
        <w:t>（二）</w:t>
      </w:r>
      <w:r>
        <w:rPr>
          <w:rFonts w:hint="eastAsia" w:ascii="楷体_GB2312" w:hAnsi="楷体_GB2312" w:eastAsia="楷体_GB2312" w:cs="宋体"/>
          <w:b/>
          <w:bCs/>
          <w:color w:val="333333"/>
          <w:kern w:val="0"/>
          <w:sz w:val="32"/>
          <w:szCs w:val="32"/>
          <w:shd w:val="clear" w:color="auto" w:fill="FFFFFF"/>
        </w:rPr>
        <w:t>改进情况</w:t>
      </w:r>
      <w:r>
        <w:rPr>
          <w:rFonts w:hint="eastAsia" w:ascii="楷体_GB2312" w:hAnsi="楷体_GB2312" w:eastAsia="楷体_GB2312" w:cs="宋体"/>
          <w:b/>
          <w:color w:val="333333"/>
          <w:kern w:val="0"/>
          <w:sz w:val="32"/>
          <w:szCs w:val="32"/>
          <w:shd w:val="clear" w:color="auto" w:fill="FFFFFF"/>
        </w:rPr>
        <w:t>。</w:t>
      </w:r>
      <w:r>
        <w:rPr>
          <w:rFonts w:hint="eastAsia" w:ascii="新宋体" w:hAnsi="新宋体" w:eastAsia="方正仿宋简体" w:cs="宋体"/>
          <w:color w:val="333333"/>
          <w:kern w:val="0"/>
          <w:sz w:val="32"/>
          <w:szCs w:val="32"/>
          <w:shd w:val="clear" w:color="auto" w:fill="FFFFFF"/>
        </w:rPr>
        <w:t>加强政府信息公开相关人员业务培训力度，</w:t>
      </w:r>
      <w:r>
        <w:rPr>
          <w:rFonts w:hint="eastAsia" w:ascii="新宋体" w:hAnsi="新宋体" w:eastAsia="方正仿宋简体" w:cs="宋体"/>
          <w:color w:val="333333"/>
          <w:kern w:val="0"/>
          <w:sz w:val="32"/>
          <w:szCs w:val="32"/>
          <w:shd w:val="clear" w:color="auto" w:fill="FFFFFF"/>
          <w:lang w:eastAsia="zh-CN"/>
        </w:rPr>
        <w:t>力争</w:t>
      </w:r>
      <w:r>
        <w:rPr>
          <w:rFonts w:hint="eastAsia" w:ascii="新宋体" w:hAnsi="新宋体" w:eastAsia="方正仿宋简体" w:cs="宋体"/>
          <w:color w:val="333333"/>
          <w:kern w:val="0"/>
          <w:sz w:val="32"/>
          <w:szCs w:val="32"/>
          <w:shd w:val="clear" w:color="auto" w:fill="FFFFFF"/>
        </w:rPr>
        <w:t>从政策、法规理论和政</w:t>
      </w:r>
      <w:r>
        <w:rPr>
          <w:rFonts w:hint="eastAsia" w:ascii="新宋体" w:hAnsi="新宋体" w:eastAsia="方正仿宋简体" w:cs="宋体"/>
          <w:color w:val="333333"/>
          <w:kern w:val="0"/>
          <w:sz w:val="32"/>
          <w:szCs w:val="32"/>
          <w:shd w:val="clear" w:color="auto" w:fill="FFFFFF"/>
          <w:lang w:eastAsia="zh-CN"/>
        </w:rPr>
        <w:t>府</w:t>
      </w:r>
      <w:r>
        <w:rPr>
          <w:rFonts w:hint="eastAsia" w:ascii="新宋体" w:hAnsi="新宋体" w:eastAsia="方正仿宋简体" w:cs="宋体"/>
          <w:color w:val="333333"/>
          <w:kern w:val="0"/>
          <w:sz w:val="32"/>
          <w:szCs w:val="32"/>
          <w:shd w:val="clear" w:color="auto" w:fill="FFFFFF"/>
        </w:rPr>
        <w:t>网站及政务新媒体应用、管理等方面得到增强</w:t>
      </w:r>
      <w:r>
        <w:rPr>
          <w:rFonts w:hint="eastAsia" w:ascii="新宋体" w:hAnsi="新宋体" w:eastAsia="方正仿宋简体" w:cs="宋体"/>
          <w:color w:val="333333"/>
          <w:kern w:val="0"/>
          <w:sz w:val="32"/>
          <w:szCs w:val="32"/>
          <w:shd w:val="clear" w:color="auto" w:fill="FFFFFF"/>
          <w:lang w:eastAsia="zh-CN"/>
        </w:rPr>
        <w:t>，</w:t>
      </w:r>
      <w:r>
        <w:rPr>
          <w:rFonts w:hint="eastAsia" w:ascii="新宋体" w:hAnsi="新宋体" w:eastAsia="方正仿宋简体" w:cs="宋体"/>
          <w:color w:val="333333"/>
          <w:kern w:val="0"/>
          <w:sz w:val="32"/>
          <w:szCs w:val="32"/>
          <w:shd w:val="clear" w:color="auto" w:fill="FFFFFF"/>
        </w:rPr>
        <w:t>政府信息公开工作整体水平取得一定的提升。</w:t>
      </w:r>
    </w:p>
    <w:p>
      <w:pPr>
        <w:widowControl/>
        <w:shd w:val="clear" w:color="auto" w:fill="FFFFFF"/>
        <w:spacing w:line="520" w:lineRule="exact"/>
        <w:ind w:firstLine="629" w:firstLineChars="196"/>
        <w:rPr>
          <w:rFonts w:hint="eastAsia" w:ascii="黑体" w:hAnsi="黑体" w:eastAsia="黑体" w:cs="宋体"/>
          <w:b/>
          <w:bCs/>
          <w:color w:val="333333"/>
          <w:kern w:val="0"/>
          <w:sz w:val="32"/>
          <w:szCs w:val="32"/>
          <w:shd w:val="clear" w:color="auto" w:fill="FFFFFF"/>
        </w:rPr>
      </w:pPr>
      <w:r>
        <w:rPr>
          <w:rFonts w:hint="eastAsia" w:ascii="黑体" w:hAnsi="黑体" w:eastAsia="黑体" w:cs="宋体"/>
          <w:b/>
          <w:bCs/>
          <w:color w:val="333333"/>
          <w:kern w:val="0"/>
          <w:sz w:val="32"/>
          <w:szCs w:val="32"/>
          <w:shd w:val="clear" w:color="auto" w:fill="FFFFFF"/>
        </w:rPr>
        <w:t>六、其他需要报告的事项</w:t>
      </w:r>
    </w:p>
    <w:p>
      <w:pPr>
        <w:pStyle w:val="2"/>
        <w:spacing w:line="520" w:lineRule="exact"/>
        <w:ind w:left="0" w:leftChars="0" w:firstLine="640" w:firstLineChars="200"/>
        <w:rPr>
          <w:rFonts w:hint="eastAsia" w:ascii="仿宋_GB2312" w:hAnsi="仿宋_GB2312" w:eastAsia="仿宋_GB2312" w:cs="宋体"/>
          <w:color w:val="333333"/>
          <w:sz w:val="32"/>
          <w:szCs w:val="32"/>
          <w:shd w:val="clear" w:color="auto" w:fill="FFFFFF"/>
        </w:rPr>
      </w:pPr>
      <w:r>
        <w:rPr>
          <w:rFonts w:hint="eastAsia" w:ascii="新宋体" w:hAnsi="新宋体" w:eastAsia="方正仿宋简体" w:cs="仿宋_GB2312"/>
          <w:color w:val="333333"/>
          <w:kern w:val="0"/>
          <w:sz w:val="32"/>
          <w:szCs w:val="32"/>
          <w:shd w:val="clear" w:color="auto" w:fill="FFFFFF"/>
        </w:rPr>
        <w:t>2022</w:t>
      </w:r>
      <w:r>
        <w:rPr>
          <w:rFonts w:hint="eastAsia" w:ascii="仿宋_GB2312" w:hAnsi="仿宋_GB2312" w:eastAsia="仿宋_GB2312" w:cs="仿宋_GB2312"/>
          <w:color w:val="333333"/>
          <w:kern w:val="0"/>
          <w:sz w:val="32"/>
          <w:szCs w:val="32"/>
          <w:shd w:val="clear" w:color="auto" w:fill="FFFFFF"/>
        </w:rPr>
        <w:t>年，和田地区</w:t>
      </w:r>
      <w:r>
        <w:rPr>
          <w:rFonts w:hint="eastAsia" w:ascii="仿宋_GB2312" w:hAnsi="仿宋_GB2312" w:eastAsia="仿宋_GB2312" w:cs="仿宋_GB2312"/>
          <w:color w:val="333333"/>
          <w:kern w:val="0"/>
          <w:sz w:val="32"/>
          <w:szCs w:val="32"/>
          <w:shd w:val="clear" w:color="auto" w:fill="FFFFFF"/>
          <w:lang w:eastAsia="zh-CN"/>
        </w:rPr>
        <w:t>行政公署办公室</w:t>
      </w:r>
      <w:r>
        <w:rPr>
          <w:rFonts w:hint="eastAsia" w:ascii="仿宋_GB2312" w:hAnsi="仿宋_GB2312" w:eastAsia="仿宋_GB2312" w:cs="仿宋_GB2312"/>
          <w:color w:val="333333"/>
          <w:kern w:val="0"/>
          <w:sz w:val="32"/>
          <w:szCs w:val="32"/>
          <w:shd w:val="clear" w:color="auto" w:fill="FFFFFF"/>
        </w:rPr>
        <w:t>无收取信息处理费情况。</w:t>
      </w:r>
    </w:p>
    <w:p>
      <w:pPr>
        <w:pStyle w:val="3"/>
        <w:spacing w:line="520" w:lineRule="exact"/>
        <w:ind w:firstLine="4160" w:firstLineChars="1300"/>
        <w:rPr>
          <w:rFonts w:hint="eastAsia" w:ascii="仿宋_GB2312" w:hAnsi="仿宋_GB2312" w:eastAsia="仿宋_GB2312" w:cs="宋体"/>
          <w:color w:val="333333"/>
          <w:sz w:val="32"/>
          <w:szCs w:val="32"/>
          <w:shd w:val="clear" w:color="auto" w:fill="FFFFFF"/>
        </w:rPr>
      </w:pPr>
    </w:p>
    <w:p>
      <w:pPr>
        <w:pStyle w:val="4"/>
        <w:rPr>
          <w:rFonts w:hint="eastAsia"/>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2320" w:firstLineChars="725"/>
        <w:jc w:val="center"/>
        <w:textAlignment w:val="auto"/>
        <w:outlineLvl w:val="9"/>
        <w:rPr>
          <w:rFonts w:hint="eastAsia" w:eastAsia="仿宋_GB2312"/>
          <w:lang w:eastAsia="zh-CN"/>
        </w:rPr>
      </w:pPr>
      <w:r>
        <w:rPr>
          <w:rFonts w:hint="eastAsia" w:ascii="仿宋_GB2312" w:hAnsi="仿宋_GB2312" w:eastAsia="仿宋_GB2312" w:cs="宋体"/>
          <w:color w:val="333333"/>
          <w:sz w:val="32"/>
          <w:szCs w:val="32"/>
          <w:shd w:val="clear" w:color="auto" w:fill="FFFFFF"/>
          <w:lang w:eastAsia="zh-CN"/>
        </w:rPr>
        <w:t>和田地区行政公署办公室</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2320" w:firstLineChars="725"/>
        <w:jc w:val="center"/>
        <w:textAlignment w:val="auto"/>
        <w:outlineLvl w:val="9"/>
        <w:rPr>
          <w:rFonts w:hint="eastAsia" w:ascii="仿宋_GB2312" w:hAnsi="仿宋_GB2312" w:eastAsia="仿宋_GB2312"/>
        </w:rPr>
      </w:pPr>
      <w:r>
        <w:rPr>
          <w:rFonts w:hint="eastAsia" w:ascii="仿宋_GB2312" w:hAnsi="仿宋_GB2312" w:eastAsia="仿宋_GB2312" w:cs="宋体"/>
          <w:color w:val="333333"/>
          <w:sz w:val="32"/>
          <w:szCs w:val="32"/>
          <w:shd w:val="clear" w:color="auto" w:fill="FFFFFF"/>
        </w:rPr>
        <w:t>2023年1月30日</w:t>
      </w:r>
    </w:p>
    <w:sectPr>
      <w:footerReference r:id="rId3" w:type="default"/>
      <w:pgSz w:w="11906" w:h="16838"/>
      <w:pgMar w:top="2098" w:right="1531" w:bottom="1984" w:left="1531"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新宋体">
    <w:altName w:val="方正书宋_GBK"/>
    <w:panose1 w:val="02010609030101010101"/>
    <w:charset w:val="86"/>
    <w:family w:val="auto"/>
    <w:pitch w:val="default"/>
    <w:sig w:usb0="00000000" w:usb1="00000000" w:usb2="0000000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36824"/>
      <w:docPartObj>
        <w:docPartGallery w:val="autotext"/>
      </w:docPartObj>
    </w:sdtPr>
    <w:sdtContent>
      <w:p>
        <w:pPr>
          <w:pStyle w:val="11"/>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36CD3"/>
    <w:multiLevelType w:val="singleLevel"/>
    <w:tmpl w:val="61036CD3"/>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551631"/>
    <w:rsid w:val="00030E1B"/>
    <w:rsid w:val="00054448"/>
    <w:rsid w:val="0005781B"/>
    <w:rsid w:val="00072C2D"/>
    <w:rsid w:val="000972B9"/>
    <w:rsid w:val="000A76DC"/>
    <w:rsid w:val="000D2D04"/>
    <w:rsid w:val="000D5071"/>
    <w:rsid w:val="00104398"/>
    <w:rsid w:val="001065C0"/>
    <w:rsid w:val="00124845"/>
    <w:rsid w:val="00147536"/>
    <w:rsid w:val="00173F21"/>
    <w:rsid w:val="00175623"/>
    <w:rsid w:val="0018688D"/>
    <w:rsid w:val="001A2F6C"/>
    <w:rsid w:val="001A7420"/>
    <w:rsid w:val="001C43EF"/>
    <w:rsid w:val="001F61AA"/>
    <w:rsid w:val="00200EDB"/>
    <w:rsid w:val="00225D8D"/>
    <w:rsid w:val="00282B7E"/>
    <w:rsid w:val="002B3320"/>
    <w:rsid w:val="0034021F"/>
    <w:rsid w:val="0038307B"/>
    <w:rsid w:val="003E014A"/>
    <w:rsid w:val="004049ED"/>
    <w:rsid w:val="004244FF"/>
    <w:rsid w:val="00442792"/>
    <w:rsid w:val="004652E5"/>
    <w:rsid w:val="004E3322"/>
    <w:rsid w:val="004F0051"/>
    <w:rsid w:val="005008AB"/>
    <w:rsid w:val="0050385C"/>
    <w:rsid w:val="00516D05"/>
    <w:rsid w:val="00545F43"/>
    <w:rsid w:val="0055118F"/>
    <w:rsid w:val="00563B3E"/>
    <w:rsid w:val="005A371C"/>
    <w:rsid w:val="005E3FCF"/>
    <w:rsid w:val="006239CA"/>
    <w:rsid w:val="0063120F"/>
    <w:rsid w:val="00667AE2"/>
    <w:rsid w:val="00674317"/>
    <w:rsid w:val="00677433"/>
    <w:rsid w:val="00685776"/>
    <w:rsid w:val="006B7362"/>
    <w:rsid w:val="006D0F32"/>
    <w:rsid w:val="006D1C18"/>
    <w:rsid w:val="006F3765"/>
    <w:rsid w:val="0072713F"/>
    <w:rsid w:val="00742E93"/>
    <w:rsid w:val="007501E8"/>
    <w:rsid w:val="00766929"/>
    <w:rsid w:val="00797706"/>
    <w:rsid w:val="007D1B0D"/>
    <w:rsid w:val="007F0C2A"/>
    <w:rsid w:val="007F1B21"/>
    <w:rsid w:val="008156EA"/>
    <w:rsid w:val="008335D0"/>
    <w:rsid w:val="008757A5"/>
    <w:rsid w:val="008927C5"/>
    <w:rsid w:val="008A6287"/>
    <w:rsid w:val="008B0608"/>
    <w:rsid w:val="009208AB"/>
    <w:rsid w:val="00923751"/>
    <w:rsid w:val="00924F23"/>
    <w:rsid w:val="0093323D"/>
    <w:rsid w:val="009439B6"/>
    <w:rsid w:val="009A4B13"/>
    <w:rsid w:val="009B46E6"/>
    <w:rsid w:val="009D6477"/>
    <w:rsid w:val="009E73F7"/>
    <w:rsid w:val="009F20E5"/>
    <w:rsid w:val="00A020C5"/>
    <w:rsid w:val="00A469EA"/>
    <w:rsid w:val="00A53A42"/>
    <w:rsid w:val="00A62004"/>
    <w:rsid w:val="00A65010"/>
    <w:rsid w:val="00A742B8"/>
    <w:rsid w:val="00A90B65"/>
    <w:rsid w:val="00AD6170"/>
    <w:rsid w:val="00B01205"/>
    <w:rsid w:val="00B05DB7"/>
    <w:rsid w:val="00B145C4"/>
    <w:rsid w:val="00B20375"/>
    <w:rsid w:val="00B32433"/>
    <w:rsid w:val="00B43A24"/>
    <w:rsid w:val="00B53178"/>
    <w:rsid w:val="00B65091"/>
    <w:rsid w:val="00BB2CAC"/>
    <w:rsid w:val="00BB3845"/>
    <w:rsid w:val="00BB780C"/>
    <w:rsid w:val="00BC442C"/>
    <w:rsid w:val="00BC7BA2"/>
    <w:rsid w:val="00BE7035"/>
    <w:rsid w:val="00C23CB0"/>
    <w:rsid w:val="00C45BA2"/>
    <w:rsid w:val="00C70ED4"/>
    <w:rsid w:val="00CB0184"/>
    <w:rsid w:val="00CF58A8"/>
    <w:rsid w:val="00D0530A"/>
    <w:rsid w:val="00D41FC2"/>
    <w:rsid w:val="00D42977"/>
    <w:rsid w:val="00D97581"/>
    <w:rsid w:val="00DA16DE"/>
    <w:rsid w:val="00DB7224"/>
    <w:rsid w:val="00DC12AE"/>
    <w:rsid w:val="00DC16B8"/>
    <w:rsid w:val="00DE199E"/>
    <w:rsid w:val="00E0244A"/>
    <w:rsid w:val="00E20A84"/>
    <w:rsid w:val="00E40DD5"/>
    <w:rsid w:val="00E66CD2"/>
    <w:rsid w:val="00E82EF2"/>
    <w:rsid w:val="00EB0DD5"/>
    <w:rsid w:val="00EF6132"/>
    <w:rsid w:val="00EF7921"/>
    <w:rsid w:val="00F04070"/>
    <w:rsid w:val="00F1157C"/>
    <w:rsid w:val="00FA5E4D"/>
    <w:rsid w:val="00FB614E"/>
    <w:rsid w:val="00FC38A9"/>
    <w:rsid w:val="00FC7FE4"/>
    <w:rsid w:val="00FD1C61"/>
    <w:rsid w:val="014604E0"/>
    <w:rsid w:val="03226268"/>
    <w:rsid w:val="0363611D"/>
    <w:rsid w:val="03BE0A47"/>
    <w:rsid w:val="03DA5406"/>
    <w:rsid w:val="04F13E55"/>
    <w:rsid w:val="05AA72E3"/>
    <w:rsid w:val="06551631"/>
    <w:rsid w:val="079B16F8"/>
    <w:rsid w:val="07BC7DC7"/>
    <w:rsid w:val="08FB785B"/>
    <w:rsid w:val="096D38F1"/>
    <w:rsid w:val="0AB320B4"/>
    <w:rsid w:val="0AC80AB5"/>
    <w:rsid w:val="0AD416E1"/>
    <w:rsid w:val="0D8F0519"/>
    <w:rsid w:val="0F6A082C"/>
    <w:rsid w:val="0F9734F4"/>
    <w:rsid w:val="0FDD4C91"/>
    <w:rsid w:val="10626286"/>
    <w:rsid w:val="1094394B"/>
    <w:rsid w:val="11661506"/>
    <w:rsid w:val="12177011"/>
    <w:rsid w:val="12367E3A"/>
    <w:rsid w:val="13A17C04"/>
    <w:rsid w:val="13D26B1F"/>
    <w:rsid w:val="14944E5A"/>
    <w:rsid w:val="15801752"/>
    <w:rsid w:val="15EC559C"/>
    <w:rsid w:val="161021E1"/>
    <w:rsid w:val="1679467E"/>
    <w:rsid w:val="17BA4E78"/>
    <w:rsid w:val="17E96D22"/>
    <w:rsid w:val="184866E1"/>
    <w:rsid w:val="187952AB"/>
    <w:rsid w:val="18B85291"/>
    <w:rsid w:val="1AE52F77"/>
    <w:rsid w:val="1AF23562"/>
    <w:rsid w:val="1B5E34A0"/>
    <w:rsid w:val="1C2627D9"/>
    <w:rsid w:val="1C6A4930"/>
    <w:rsid w:val="1D971446"/>
    <w:rsid w:val="1DD51468"/>
    <w:rsid w:val="1E236C3B"/>
    <w:rsid w:val="1F3D702B"/>
    <w:rsid w:val="1F8839A3"/>
    <w:rsid w:val="20412E46"/>
    <w:rsid w:val="21714F14"/>
    <w:rsid w:val="236A022B"/>
    <w:rsid w:val="238D19C7"/>
    <w:rsid w:val="238F095C"/>
    <w:rsid w:val="23A03A0A"/>
    <w:rsid w:val="23C05E91"/>
    <w:rsid w:val="24581407"/>
    <w:rsid w:val="24A43D81"/>
    <w:rsid w:val="263A07AD"/>
    <w:rsid w:val="27233ED6"/>
    <w:rsid w:val="27EE7867"/>
    <w:rsid w:val="281501D6"/>
    <w:rsid w:val="284B0CE8"/>
    <w:rsid w:val="2985374C"/>
    <w:rsid w:val="2A990F87"/>
    <w:rsid w:val="2AAA7AB6"/>
    <w:rsid w:val="2C8478B4"/>
    <w:rsid w:val="2D4463DD"/>
    <w:rsid w:val="2FB91397"/>
    <w:rsid w:val="2FC85FEE"/>
    <w:rsid w:val="33FFD664"/>
    <w:rsid w:val="344635CF"/>
    <w:rsid w:val="350E716A"/>
    <w:rsid w:val="36A3281B"/>
    <w:rsid w:val="37F35ABE"/>
    <w:rsid w:val="395969FD"/>
    <w:rsid w:val="398A2B6C"/>
    <w:rsid w:val="39956366"/>
    <w:rsid w:val="3A6E5EC1"/>
    <w:rsid w:val="3B476145"/>
    <w:rsid w:val="3B86602C"/>
    <w:rsid w:val="3BBD6692"/>
    <w:rsid w:val="3CAF70E5"/>
    <w:rsid w:val="3CBE0744"/>
    <w:rsid w:val="3D3E3BEA"/>
    <w:rsid w:val="3E2C7090"/>
    <w:rsid w:val="3E423267"/>
    <w:rsid w:val="3F3F7DDE"/>
    <w:rsid w:val="41D1419A"/>
    <w:rsid w:val="424B523F"/>
    <w:rsid w:val="424E22C0"/>
    <w:rsid w:val="429B73CA"/>
    <w:rsid w:val="429F4C2E"/>
    <w:rsid w:val="42A512BC"/>
    <w:rsid w:val="432A6039"/>
    <w:rsid w:val="438B535B"/>
    <w:rsid w:val="441A279D"/>
    <w:rsid w:val="44480D2A"/>
    <w:rsid w:val="45CF3583"/>
    <w:rsid w:val="46C4679F"/>
    <w:rsid w:val="46F2479E"/>
    <w:rsid w:val="4801236F"/>
    <w:rsid w:val="48B72C0C"/>
    <w:rsid w:val="4A3A32B4"/>
    <w:rsid w:val="4B2D4ED5"/>
    <w:rsid w:val="4B612110"/>
    <w:rsid w:val="4B857C70"/>
    <w:rsid w:val="50F8616C"/>
    <w:rsid w:val="514C1117"/>
    <w:rsid w:val="518D65DD"/>
    <w:rsid w:val="51D5162F"/>
    <w:rsid w:val="5200632E"/>
    <w:rsid w:val="52604CFE"/>
    <w:rsid w:val="528A11B5"/>
    <w:rsid w:val="529B47DF"/>
    <w:rsid w:val="53317BCD"/>
    <w:rsid w:val="53F57590"/>
    <w:rsid w:val="542C7454"/>
    <w:rsid w:val="54B93F7C"/>
    <w:rsid w:val="54C724CF"/>
    <w:rsid w:val="550C6E93"/>
    <w:rsid w:val="553A3950"/>
    <w:rsid w:val="557C4C57"/>
    <w:rsid w:val="58E83367"/>
    <w:rsid w:val="596F28BC"/>
    <w:rsid w:val="59A754C0"/>
    <w:rsid w:val="59AC28CA"/>
    <w:rsid w:val="5A327433"/>
    <w:rsid w:val="5B4E05AE"/>
    <w:rsid w:val="5BFC5F79"/>
    <w:rsid w:val="5C480021"/>
    <w:rsid w:val="5C5318B0"/>
    <w:rsid w:val="5CCD49B5"/>
    <w:rsid w:val="5D2B39DB"/>
    <w:rsid w:val="5F106D0B"/>
    <w:rsid w:val="5F475090"/>
    <w:rsid w:val="5FF44306"/>
    <w:rsid w:val="60934F9E"/>
    <w:rsid w:val="61B33A13"/>
    <w:rsid w:val="625D6AF5"/>
    <w:rsid w:val="627B76D8"/>
    <w:rsid w:val="62A14405"/>
    <w:rsid w:val="62C44A2D"/>
    <w:rsid w:val="63615AAE"/>
    <w:rsid w:val="657D03BE"/>
    <w:rsid w:val="65CD703F"/>
    <w:rsid w:val="66AC0C12"/>
    <w:rsid w:val="67412F83"/>
    <w:rsid w:val="67564671"/>
    <w:rsid w:val="68CA300C"/>
    <w:rsid w:val="69991B54"/>
    <w:rsid w:val="69A01F44"/>
    <w:rsid w:val="6B0A76BD"/>
    <w:rsid w:val="6D197978"/>
    <w:rsid w:val="6DD27E6D"/>
    <w:rsid w:val="6E1B6E16"/>
    <w:rsid w:val="6EC02838"/>
    <w:rsid w:val="6EDD182C"/>
    <w:rsid w:val="70863FAC"/>
    <w:rsid w:val="708E4ED1"/>
    <w:rsid w:val="70AA4343"/>
    <w:rsid w:val="7172784C"/>
    <w:rsid w:val="71CB18E0"/>
    <w:rsid w:val="726A0120"/>
    <w:rsid w:val="734761ED"/>
    <w:rsid w:val="73503215"/>
    <w:rsid w:val="73733019"/>
    <w:rsid w:val="74940E86"/>
    <w:rsid w:val="75B41BAB"/>
    <w:rsid w:val="75F41D79"/>
    <w:rsid w:val="761300C5"/>
    <w:rsid w:val="77B12A6D"/>
    <w:rsid w:val="77F66896"/>
    <w:rsid w:val="78124312"/>
    <w:rsid w:val="79B531E6"/>
    <w:rsid w:val="7A5E3B3D"/>
    <w:rsid w:val="7BF216EB"/>
    <w:rsid w:val="7BF3131F"/>
    <w:rsid w:val="7C3B622A"/>
    <w:rsid w:val="7C8F6FA8"/>
    <w:rsid w:val="7CD15567"/>
    <w:rsid w:val="7DB70C92"/>
    <w:rsid w:val="7FA63511"/>
    <w:rsid w:val="7FBE6639"/>
    <w:rsid w:val="7FF33AA8"/>
    <w:rsid w:val="7FFB13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880" w:firstLineChars="200"/>
    </w:pPr>
    <w:rPr>
      <w:rFonts w:ascii="Calibri" w:hAnsi="Calibri"/>
      <w:sz w:val="28"/>
      <w:szCs w:val="22"/>
    </w:rPr>
  </w:style>
  <w:style w:type="paragraph" w:styleId="3">
    <w:name w:val="Body Text Indent"/>
    <w:basedOn w:val="1"/>
    <w:next w:val="4"/>
    <w:qFormat/>
    <w:uiPriority w:val="0"/>
    <w:pPr>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6">
    <w:name w:val="Body Text"/>
    <w:basedOn w:val="1"/>
    <w:qFormat/>
    <w:uiPriority w:val="0"/>
    <w:pPr>
      <w:jc w:val="center"/>
    </w:pPr>
    <w:rPr>
      <w:rFonts w:eastAsia="华文中宋"/>
      <w:sz w:val="44"/>
    </w:rPr>
  </w:style>
  <w:style w:type="paragraph" w:styleId="7">
    <w:name w:val="toc 3"/>
    <w:basedOn w:val="1"/>
    <w:next w:val="1"/>
    <w:qFormat/>
    <w:uiPriority w:val="0"/>
    <w:pPr>
      <w:ind w:left="840" w:leftChars="400"/>
    </w:pPr>
  </w:style>
  <w:style w:type="paragraph" w:styleId="8">
    <w:name w:val="Plain Text"/>
    <w:basedOn w:val="1"/>
    <w:next w:val="9"/>
    <w:qFormat/>
    <w:uiPriority w:val="0"/>
    <w:rPr>
      <w:rFonts w:ascii="宋体" w:hAnsi="Courier New" w:eastAsia="宋体"/>
      <w:szCs w:val="20"/>
    </w:rPr>
  </w:style>
  <w:style w:type="paragraph" w:styleId="9">
    <w:name w:val="List Number 5"/>
    <w:basedOn w:val="1"/>
    <w:qFormat/>
    <w:uiPriority w:val="0"/>
    <w:pPr>
      <w:numPr>
        <w:ilvl w:val="0"/>
        <w:numId w:val="1"/>
      </w:numPr>
    </w:pPr>
  </w:style>
  <w:style w:type="paragraph" w:styleId="10">
    <w:name w:val="Date"/>
    <w:basedOn w:val="1"/>
    <w:next w:val="1"/>
    <w:link w:val="31"/>
    <w:qFormat/>
    <w:uiPriority w:val="0"/>
    <w:pPr>
      <w:ind w:left="100" w:leftChars="2500"/>
    </w:pPr>
  </w:style>
  <w:style w:type="paragraph" w:styleId="11">
    <w:name w:val="footer"/>
    <w:basedOn w:val="1"/>
    <w:link w:val="30"/>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100"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page number"/>
    <w:basedOn w:val="16"/>
    <w:qFormat/>
    <w:uiPriority w:val="0"/>
    <w:rPr>
      <w:rFonts w:ascii="宋体" w:eastAsia="宋体"/>
      <w:color w:val="auto"/>
      <w:spacing w:val="0"/>
      <w:kern w:val="28"/>
      <w:sz w:val="24"/>
      <w:shd w:val="clear" w:color="auto" w:fill="auto"/>
    </w:rPr>
  </w:style>
  <w:style w:type="paragraph" w:customStyle="1" w:styleId="19">
    <w:name w:val="样式1"/>
    <w:basedOn w:val="1"/>
    <w:qFormat/>
    <w:uiPriority w:val="0"/>
  </w:style>
  <w:style w:type="paragraph" w:customStyle="1" w:styleId="20">
    <w:name w:val="4正文"/>
    <w:basedOn w:val="1"/>
    <w:qFormat/>
    <w:uiPriority w:val="0"/>
    <w:pPr>
      <w:spacing w:line="460" w:lineRule="exact"/>
    </w:pPr>
    <w:rPr>
      <w:rFonts w:ascii="Times New Roman" w:hAnsi="Times New Roman" w:eastAsia="仿宋"/>
      <w:sz w:val="28"/>
    </w:rPr>
  </w:style>
  <w:style w:type="paragraph" w:customStyle="1" w:styleId="21">
    <w:name w:val="p0"/>
    <w:qFormat/>
    <w:uiPriority w:val="0"/>
    <w:rPr>
      <w:rFonts w:ascii="Calibri" w:hAnsi="Calibri" w:eastAsia="宋体" w:cs="Times New Roman"/>
      <w:sz w:val="32"/>
      <w:szCs w:val="32"/>
      <w:lang w:val="en-US" w:eastAsia="zh-CN" w:bidi="ar-SA"/>
    </w:rPr>
  </w:style>
  <w:style w:type="paragraph" w:customStyle="1" w:styleId="22">
    <w:name w:val="正文文本1"/>
    <w:basedOn w:val="1"/>
    <w:qFormat/>
    <w:uiPriority w:val="0"/>
    <w:pPr>
      <w:shd w:val="clear" w:color="auto" w:fill="FFFFFF"/>
      <w:spacing w:before="540" w:after="1200" w:line="0" w:lineRule="atLeast"/>
      <w:ind w:hanging="980"/>
      <w:jc w:val="center"/>
    </w:pPr>
    <w:rPr>
      <w:rFonts w:ascii="宋体" w:hAnsi="宋体" w:eastAsia="宋体" w:cs="宋体"/>
      <w:spacing w:val="20"/>
      <w:sz w:val="30"/>
      <w:szCs w:val="30"/>
    </w:rPr>
  </w:style>
  <w:style w:type="character" w:customStyle="1" w:styleId="23">
    <w:name w:val="rec-status-desc"/>
    <w:basedOn w:val="16"/>
    <w:qFormat/>
    <w:uiPriority w:val="0"/>
  </w:style>
  <w:style w:type="character" w:customStyle="1" w:styleId="24">
    <w:name w:val="rec-volume"/>
    <w:basedOn w:val="16"/>
    <w:qFormat/>
    <w:uiPriority w:val="0"/>
  </w:style>
  <w:style w:type="character" w:customStyle="1" w:styleId="25">
    <w:name w:val="rec-time"/>
    <w:basedOn w:val="16"/>
    <w:qFormat/>
    <w:uiPriority w:val="0"/>
  </w:style>
  <w:style w:type="paragraph" w:customStyle="1" w:styleId="26">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27">
    <w:name w:val="内容"/>
    <w:basedOn w:val="1"/>
    <w:qFormat/>
    <w:uiPriority w:val="99"/>
    <w:pPr>
      <w:ind w:firstLine="200" w:firstLineChars="200"/>
    </w:pPr>
    <w:rPr>
      <w:rFonts w:ascii="宋体" w:cs="宋体"/>
      <w:sz w:val="28"/>
      <w:szCs w:val="28"/>
    </w:rPr>
  </w:style>
  <w:style w:type="paragraph" w:customStyle="1" w:styleId="28">
    <w:name w:val="Body text|3"/>
    <w:basedOn w:val="1"/>
    <w:qFormat/>
    <w:uiPriority w:val="0"/>
    <w:rPr>
      <w:b/>
      <w:bCs/>
      <w:sz w:val="9"/>
      <w:szCs w:val="9"/>
    </w:rPr>
  </w:style>
  <w:style w:type="paragraph" w:styleId="29">
    <w:name w:val="List Paragraph"/>
    <w:basedOn w:val="1"/>
    <w:unhideWhenUsed/>
    <w:qFormat/>
    <w:uiPriority w:val="99"/>
    <w:pPr>
      <w:ind w:firstLine="420" w:firstLineChars="200"/>
    </w:pPr>
  </w:style>
  <w:style w:type="character" w:customStyle="1" w:styleId="30">
    <w:name w:val="页脚 Char"/>
    <w:basedOn w:val="16"/>
    <w:link w:val="11"/>
    <w:qFormat/>
    <w:uiPriority w:val="99"/>
    <w:rPr>
      <w:rFonts w:asciiTheme="minorHAnsi" w:hAnsiTheme="minorHAnsi" w:eastAsiaTheme="minorEastAsia" w:cstheme="minorBidi"/>
      <w:kern w:val="2"/>
      <w:sz w:val="18"/>
      <w:szCs w:val="24"/>
    </w:rPr>
  </w:style>
  <w:style w:type="character" w:customStyle="1" w:styleId="31">
    <w:name w:val="日期 Char"/>
    <w:basedOn w:val="16"/>
    <w:link w:val="10"/>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390</Words>
  <Characters>2226</Characters>
  <Lines>18</Lines>
  <Paragraphs>5</Paragraphs>
  <TotalTime>1390</TotalTime>
  <ScaleCrop>false</ScaleCrop>
  <LinksUpToDate>false</LinksUpToDate>
  <CharactersWithSpaces>2611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2023-01-28T19:25:00Z</dcterms:created>
  <dc:creator>和玉印刷（王磊）</dc:creator>
  <cp:lastModifiedBy>user</cp:lastModifiedBy>
  <cp:lastPrinted>2023-03-22T16:10:59Z</cp:lastPrinted>
  <dcterms:modified xsi:type="dcterms:W3CDTF">2023-03-22T16:13:12Z</dcterms:modified>
  <dc:title>新疆维吾尔自治区和田地区自然资源局</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